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0" w:rsidRDefault="002907C0">
      <w:pPr>
        <w:rPr>
          <w:rFonts w:ascii="Times New Roman" w:hAnsi="Times New Roman" w:cs="Times New Roman"/>
        </w:rPr>
      </w:pPr>
    </w:p>
    <w:p w:rsidR="002907C0" w:rsidRDefault="002C3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07C0" w:rsidRDefault="002C3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PROGRAM DOKTORANCKIEJ SZKOŁY LETNIEJ</w:t>
      </w:r>
    </w:p>
    <w:p w:rsidR="002907C0" w:rsidRDefault="00290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</w:p>
    <w:p w:rsidR="002907C0" w:rsidRDefault="002C30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color w:val="000000"/>
        </w:rPr>
        <w:t>Czas wolny jako kategoria badawcza w badaniach nad XIX i XX wiekiem</w:t>
      </w: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NAZWA W J. ANG.</w:t>
      </w:r>
    </w:p>
    <w:p w:rsidR="002907C0" w:rsidRDefault="002C307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Leisure as the category in scientific research of XIX and XX century.</w:t>
      </w: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JĘZYK WYKŁADOWY</w:t>
      </w:r>
    </w:p>
    <w:p w:rsidR="002907C0" w:rsidRDefault="002C307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j. polski</w:t>
      </w: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</w:p>
    <w:p w:rsidR="002907C0" w:rsidRDefault="002C307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Gdańsk, Gdynia, </w:t>
      </w:r>
      <w:r>
        <w:rPr>
          <w:rFonts w:ascii="Times New Roman" w:hAnsi="Times New Roman" w:cs="Times New Roman"/>
          <w:sz w:val="24"/>
          <w:szCs w:val="24"/>
        </w:rPr>
        <w:t>Sopot</w:t>
      </w: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JEDNOSTKA PROWADZĄCA SZKOŁĘ LETNIĄ</w:t>
      </w:r>
    </w:p>
    <w:p w:rsidR="002907C0" w:rsidRDefault="002C30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Historyczny Uniwersytetu Warszawskiego</w:t>
      </w:r>
    </w:p>
    <w:p w:rsidR="002907C0" w:rsidRDefault="002907C0">
      <w:pPr>
        <w:spacing w:after="0" w:line="360" w:lineRule="auto"/>
        <w:rPr>
          <w:rFonts w:ascii="Times New Roman" w:hAnsi="Times New Roman" w:cs="Times New Roman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CELE KSZTAŁCENIA (wraz z uzasadnieniem wyjazdowego charakteru szkoły letniej)</w:t>
      </w:r>
    </w:p>
    <w:p w:rsidR="002907C0" w:rsidRDefault="002C30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ma charakter wprowadzenia początkujących badaczy zorientowanych na badanie społecz</w:t>
      </w:r>
      <w:r>
        <w:rPr>
          <w:rFonts w:ascii="Times New Roman" w:hAnsi="Times New Roman" w:cs="Times New Roman"/>
          <w:sz w:val="24"/>
          <w:szCs w:val="24"/>
        </w:rPr>
        <w:t xml:space="preserve">eństwa i kultury XIX i XX wieku w problematykę projektów badawczych innych doktorantów z różnych dziedzin naukowych, stworzenia sieci naukowej wśród doktorantów Uniwersytetu Warszawskiego oraz integrację ze środowiskiem specjalistów. Szkoła stworzy okazję </w:t>
      </w:r>
      <w:r>
        <w:rPr>
          <w:rFonts w:ascii="Times New Roman" w:hAnsi="Times New Roman" w:cs="Times New Roman"/>
          <w:sz w:val="24"/>
          <w:szCs w:val="24"/>
        </w:rPr>
        <w:t>do skonfrontowania podejść badawczych przedstawicieli różnych dziedzin nauk (m. in. historii, socjologii, wiedzy o kulturze) oraz specjalności naukowych (np. historyk XIX wieku, historyk PRL, badacz historii politycznej, badacz historii kultury) i doskonal</w:t>
      </w:r>
      <w:r>
        <w:rPr>
          <w:rFonts w:ascii="Times New Roman" w:hAnsi="Times New Roman" w:cs="Times New Roman"/>
          <w:sz w:val="24"/>
          <w:szCs w:val="24"/>
        </w:rPr>
        <w:t>enia umiejętności przedstawiania specyfiki własnych badań specjalistom innych dyscyplin i specjalności. Szkoła ma charakter wyjazdowy, co pozwoli zapoznać się uczestnikom zajęć ze specyfiką terenów Trójmiasta w kontekście prowadzonych zajęć, których tematy</w:t>
      </w:r>
      <w:r>
        <w:rPr>
          <w:rFonts w:ascii="Times New Roman" w:hAnsi="Times New Roman" w:cs="Times New Roman"/>
          <w:sz w:val="24"/>
          <w:szCs w:val="24"/>
        </w:rPr>
        <w:t>ka dotyczyć będzie w szczególności terenów Pomorza i badań nad czasem wolnym.</w:t>
      </w:r>
    </w:p>
    <w:p w:rsidR="002907C0" w:rsidRDefault="002907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</w:pPr>
      <w:r>
        <w:rPr>
          <w:rFonts w:ascii="Times New Roman" w:hAnsi="Times New Roman" w:cs="Times New Roman"/>
          <w:sz w:val="24"/>
          <w:szCs w:val="24"/>
        </w:rPr>
        <w:t>POZIOM KSZTAŁCENIA ZGODNY Z PRK: 8</w:t>
      </w:r>
    </w:p>
    <w:p w:rsidR="002907C0" w:rsidRDefault="002907C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2907C0" w:rsidRDefault="002907C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2907C0" w:rsidRDefault="002907C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2907C0" w:rsidRDefault="002907C0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EFEKTY KSZTAŁCENIA DLA SZKOŁY LETNIEJ</w:t>
      </w:r>
    </w:p>
    <w:p w:rsidR="002907C0" w:rsidRDefault="002907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6328"/>
        <w:gridCol w:w="2626"/>
      </w:tblGrid>
      <w:tr w:rsidR="002907C0">
        <w:tc>
          <w:tcPr>
            <w:tcW w:w="6327" w:type="dxa"/>
            <w:shd w:val="clear" w:color="auto" w:fill="auto"/>
          </w:tcPr>
          <w:p w:rsidR="002907C0" w:rsidRDefault="00290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07C0" w:rsidRDefault="002C307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Odniesienie do charakterystyk PRK</w:t>
            </w:r>
          </w:p>
        </w:tc>
      </w:tr>
      <w:tr w:rsidR="002907C0">
        <w:tc>
          <w:tcPr>
            <w:tcW w:w="8953" w:type="dxa"/>
            <w:gridSpan w:val="2"/>
            <w:shd w:val="clear" w:color="auto" w:fill="auto"/>
          </w:tcPr>
          <w:p w:rsidR="002907C0" w:rsidRDefault="00290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07C0" w:rsidRDefault="002C307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WIEDZA</w:t>
            </w:r>
          </w:p>
        </w:tc>
      </w:tr>
      <w:tr w:rsidR="002907C0">
        <w:tc>
          <w:tcPr>
            <w:tcW w:w="8953" w:type="dxa"/>
            <w:gridSpan w:val="2"/>
            <w:shd w:val="clear" w:color="auto" w:fill="auto"/>
          </w:tcPr>
          <w:p w:rsidR="002907C0" w:rsidRDefault="002C307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Doktorant/doktorantka po ukończeniu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szkoły: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before="280" w:after="160"/>
              <w:ind w:right="62"/>
            </w:pPr>
            <w:r>
              <w:rPr>
                <w:color w:val="000000"/>
              </w:rPr>
              <w:t>Doktorant poprzez uczestnictwo w szkole letniej zna i rozumie pogłębione cele i metody badań nad czasem wolnym w perspektywie historycznej, socjologicznej, antropologicznej, kulturoznawczej</w:t>
            </w:r>
            <w:r>
              <w:t xml:space="preserve"> i </w:t>
            </w:r>
            <w:r>
              <w:rPr>
                <w:color w:val="000000"/>
              </w:rPr>
              <w:t>architektonicznej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bookmarkStart w:id="0" w:name="__DdeLink__1339_291266368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8ZW_T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before="280" w:after="160"/>
              <w:ind w:right="62"/>
            </w:pPr>
            <w:bookmarkStart w:id="1" w:name="__DdeLink__1175_689302825"/>
            <w:bookmarkEnd w:id="1"/>
            <w:r>
              <w:rPr>
                <w:color w:val="000000"/>
              </w:rPr>
              <w:t xml:space="preserve">Doktorant posiada pogłębioną wiedzę dotyczącą historii kultury czasu wolnego 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P8z_WZ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/>
            </w:pPr>
            <w:r>
              <w:t>Doktorant zna różne typy przekazów źródłowych wykorzystywanych w badaniach nad czasem wolnym w XIX i XX wieku, ich cechy specyficzne i metody ich analizy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P8Z_WO</w:t>
            </w:r>
          </w:p>
        </w:tc>
      </w:tr>
      <w:tr w:rsidR="002907C0">
        <w:tc>
          <w:tcPr>
            <w:tcW w:w="8953" w:type="dxa"/>
            <w:gridSpan w:val="2"/>
            <w:shd w:val="clear" w:color="auto" w:fill="auto"/>
          </w:tcPr>
          <w:p w:rsidR="002907C0" w:rsidRDefault="00290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7C0" w:rsidRDefault="002C307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ĘTNOŚCI</w:t>
            </w:r>
          </w:p>
        </w:tc>
      </w:tr>
      <w:tr w:rsidR="002907C0">
        <w:tc>
          <w:tcPr>
            <w:tcW w:w="8953" w:type="dxa"/>
            <w:gridSpan w:val="2"/>
            <w:shd w:val="clear" w:color="auto" w:fill="auto"/>
          </w:tcPr>
          <w:p w:rsidR="002907C0" w:rsidRDefault="00BC48B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Doktorant/doktorantka</w:t>
            </w:r>
            <w:r w:rsidR="002C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ukończeniu szkoły: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ind w:right="62"/>
            </w:pPr>
            <w:r>
              <w:rPr>
                <w:color w:val="000000"/>
              </w:rPr>
              <w:t>Doktorant potrafi odnieść metodologię badań nad czasem wolnym do swojej pracy badawczej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P8S_UW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ind w:right="62"/>
            </w:pPr>
            <w:r>
              <w:t>Doktorant umie zastosować metodologię badań nad czasem wolnym do własnej pracy badawczej;</w:t>
            </w:r>
          </w:p>
          <w:p w:rsidR="002907C0" w:rsidRDefault="002907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P8S_UW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/>
            </w:pPr>
            <w:r>
              <w:rPr>
                <w:color w:val="000000"/>
              </w:rPr>
              <w:t xml:space="preserve">Doktorant </w:t>
            </w:r>
            <w:r>
              <w:rPr>
                <w:color w:val="000000"/>
              </w:rPr>
              <w:t>rozpoznaje najważniejsze cechy architektury podporządkowanej kulturze wczasów i wypoczynku</w:t>
            </w:r>
          </w:p>
          <w:p w:rsidR="002907C0" w:rsidRDefault="002907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P8S_UW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/>
            </w:pPr>
            <w:r>
              <w:t>Doktorant krytycznie ocenia dorobek badań różnych dyscyplin nad czasem wolnym w wybranym zakresie chronologicznym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P8Z_UI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ind w:right="62"/>
            </w:pPr>
            <w:r>
              <w:rPr>
                <w:color w:val="000000"/>
              </w:rPr>
              <w:t>Doktorant potrafi wskazać najważn</w:t>
            </w:r>
            <w:r>
              <w:rPr>
                <w:color w:val="000000"/>
              </w:rPr>
              <w:t>iejsze procesy kształtujące perspektywy badawcze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P8Z_UN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ind w:right="62"/>
            </w:pPr>
            <w:r>
              <w:t>Doktorant umie dostosować wystąpienie naukowe do zróżnicowanych kompetencji uczestników interdyscyplinarnej dyskusji naukowej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P8S_UK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ind w:right="62"/>
            </w:pPr>
            <w:r>
              <w:lastRenderedPageBreak/>
              <w:t xml:space="preserve">Doktorant umie rozpoznawać najważniejsze zagadnienia epokowe </w:t>
            </w:r>
            <w:r>
              <w:t>związane z problematyką turystyki i rekreacji w perspektywie historycznej.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P8Z_UI</w:t>
            </w:r>
          </w:p>
        </w:tc>
      </w:tr>
      <w:tr w:rsidR="002907C0">
        <w:tc>
          <w:tcPr>
            <w:tcW w:w="8953" w:type="dxa"/>
            <w:gridSpan w:val="2"/>
            <w:shd w:val="clear" w:color="auto" w:fill="auto"/>
          </w:tcPr>
          <w:p w:rsidR="002907C0" w:rsidRDefault="002C307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SPOŁECZNE:</w:t>
            </w:r>
          </w:p>
        </w:tc>
      </w:tr>
      <w:tr w:rsidR="002907C0">
        <w:tc>
          <w:tcPr>
            <w:tcW w:w="8953" w:type="dxa"/>
            <w:gridSpan w:val="2"/>
            <w:shd w:val="clear" w:color="auto" w:fill="auto"/>
          </w:tcPr>
          <w:p w:rsidR="002907C0" w:rsidRDefault="00FA7C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Doktorant/Doktora</w:t>
            </w:r>
            <w:r w:rsidR="002C3078">
              <w:rPr>
                <w:rFonts w:ascii="Times New Roman" w:eastAsia="Times New Roman" w:hAnsi="Times New Roman" w:cs="Times New Roman"/>
                <w:sz w:val="24"/>
                <w:szCs w:val="24"/>
              </w:rPr>
              <w:t>ntka po ukończeniu szkoły: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/>
            </w:pPr>
            <w:r>
              <w:rPr>
                <w:color w:val="000000"/>
              </w:rPr>
              <w:t>Doktorant jest świadomy ciągłości historycznej wynikającej z kulturowego rozwoju pojęcia „czasu wolnego”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8S_KK</w:t>
            </w:r>
          </w:p>
        </w:tc>
      </w:tr>
      <w:tr w:rsidR="002907C0">
        <w:tc>
          <w:tcPr>
            <w:tcW w:w="6327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ind w:right="62"/>
            </w:pPr>
            <w:r>
              <w:rPr>
                <w:color w:val="000000"/>
              </w:rPr>
              <w:t xml:space="preserve">Doktorant rozumie potrzebę badania tematyki historii czasu wolnego w odniesieniu do badań nad kulturą popularną i jest świadomy głównych </w:t>
            </w:r>
            <w:bookmarkStart w:id="2" w:name="_GoBack"/>
            <w:bookmarkEnd w:id="2"/>
            <w:r>
              <w:rPr>
                <w:color w:val="000000"/>
              </w:rPr>
              <w:t>nurtów badawczych obowiązujących we współczesnej humanistyce.</w:t>
            </w:r>
          </w:p>
          <w:p w:rsidR="002907C0" w:rsidRDefault="00290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2907C0" w:rsidRDefault="002C307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P8S_KR</w:t>
            </w:r>
          </w:p>
        </w:tc>
      </w:tr>
    </w:tbl>
    <w:p w:rsidR="002907C0" w:rsidRDefault="002907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UZASADNIENIE URUCHOMIENIA SZKOŁY LETNIEJ</w:t>
      </w:r>
      <w:r>
        <w:rPr>
          <w:rFonts w:ascii="Times New Roman" w:hAnsi="Times New Roman" w:cs="Times New Roman"/>
          <w:sz w:val="24"/>
          <w:szCs w:val="24"/>
        </w:rPr>
        <w:t xml:space="preserve"> W ODNIESIENIU DO:</w:t>
      </w:r>
    </w:p>
    <w:p w:rsidR="002907C0" w:rsidRDefault="002C3078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GRUPY DOCELOWEJ</w:t>
      </w:r>
    </w:p>
    <w:p w:rsidR="002907C0" w:rsidRDefault="002C307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adresowana jest do wszystkich doktorantów Uniwersytetu Warszawskiego z dyscyplin humanistycznych i społecznych takich jak: historia, literaturoznawstwo, nauki o kulturze i religii, nauki o sztuce, nauki socjologicz</w:t>
      </w:r>
      <w:r>
        <w:rPr>
          <w:rFonts w:ascii="Times New Roman" w:hAnsi="Times New Roman" w:cs="Times New Roman"/>
          <w:sz w:val="24"/>
          <w:szCs w:val="24"/>
        </w:rPr>
        <w:t xml:space="preserve">ne. </w:t>
      </w:r>
    </w:p>
    <w:p w:rsidR="002907C0" w:rsidRDefault="002907C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OFERTY DYDAKTYCZNEJ UW</w:t>
      </w:r>
    </w:p>
    <w:p w:rsidR="002907C0" w:rsidRDefault="002C3078">
      <w:pPr>
        <w:spacing w:after="0" w:line="360" w:lineRule="auto"/>
        <w:ind w:left="1080"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zajęć dydaktycznych na Uniwersytecie Warszawskim organizowana jest przez poszczególne wydziały, przez co programy studiów doktoranckich prezentują punkt widzenia charakterystyczny dla danej dziedziny naukowej. Oprócz </w:t>
      </w:r>
      <w:r>
        <w:rPr>
          <w:rFonts w:ascii="Times New Roman" w:hAnsi="Times New Roman" w:cs="Times New Roman"/>
          <w:sz w:val="24"/>
          <w:szCs w:val="24"/>
        </w:rPr>
        <w:t xml:space="preserve">corocznych objazdów naukowych, które dostępne są tylko dla studentów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stopnia, na takich kierunkach jak historia czy historia sztuki, doktoranci nie mają możliwości uczestniczenia w terenowych praktykach badawczych. Organizacja szkoły letniej pozwoli</w:t>
      </w:r>
      <w:r>
        <w:rPr>
          <w:rFonts w:ascii="Times New Roman" w:hAnsi="Times New Roman" w:cs="Times New Roman"/>
          <w:sz w:val="24"/>
          <w:szCs w:val="24"/>
        </w:rPr>
        <w:t xml:space="preserve"> przyjrzeć się problematyce spędzania czasu wolnego oraz turystyki w XIX i XX wieku z perspektywy interdyscyplinarnej, dzięki zaangażowaniu w projekt naukowców i doktorantów reprezentujących różne dziedziny nauki.</w:t>
      </w:r>
    </w:p>
    <w:p w:rsidR="002907C0" w:rsidRDefault="002907C0">
      <w:pPr>
        <w:spacing w:after="0" w:line="360" w:lineRule="auto"/>
        <w:ind w:left="1080"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WYKAZ PRZEDMIOTÓW PROWADZONYCH W RAMACH S</w:t>
      </w:r>
      <w:r>
        <w:rPr>
          <w:rFonts w:ascii="Times New Roman" w:hAnsi="Times New Roman" w:cs="Times New Roman"/>
          <w:sz w:val="24"/>
          <w:szCs w:val="24"/>
        </w:rPr>
        <w:t>ZKOŁY LETNIEJ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444"/>
        <w:gridCol w:w="1962"/>
        <w:gridCol w:w="3282"/>
        <w:gridCol w:w="2660"/>
      </w:tblGrid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zajęć (np. wykład,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ćwiczenia, konwersatorium)</w:t>
            </w: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Efekty kształcenia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dydaktyczne wykorzystywane podczas zajęć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Salonowe zabawy w I poł. XIX wieku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wiczenia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 i rozumie specyfikę ewolucji idei XVIII w. salonu i potrafi odnieść jej cechy do XIX wieku. </w:t>
            </w:r>
          </w:p>
          <w:p w:rsidR="002907C0" w:rsidRDefault="002C30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rozumie najważniejsze konwenanse i zachowania społeczne w kontekście XIX-wiecznego salonu</w:t>
            </w:r>
          </w:p>
          <w:p w:rsidR="002907C0" w:rsidRDefault="002C30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wykorzystać pojęcie czasu wolnego w kontekście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nstytucji salonowej XIX wieku.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mają charakter ćwiczeń wykorzystujących źródła pamiętnikarskie, epistolarne i prasowe – analizie poddany zostanie materiał dotyczący salonów w XVIII i XIX wieku, uczestnicy dyskutować będą nad zmieniającymi się wzorc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 salonowej etykiety i idei spędzania czasu wolnego. 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Zwierzęta a czas wolny. Heca, polowania, ogrody zoologiczne w I poł. XIX wieku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wiczenia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podstawową problematykę badań nad czasem wolnym w kontekście relacji człowiek-zwierzęta</w:t>
            </w:r>
          </w:p>
          <w:p w:rsidR="002907C0" w:rsidRDefault="002C307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rozumie jaką rolę pełniły zwierzęta w kontekście spędzania czasu wolnego w XIX wieku</w:t>
            </w:r>
          </w:p>
          <w:p w:rsidR="002907C0" w:rsidRDefault="002C307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wskazać kilka źródeł pamiętnikarskich, które dotyczą problemu zwierząt i wolnego czasu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mają na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 ukazania jak zwierzęta pełnią rolę towarzysza wolnego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czasu, ale też coraz bardziej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uprzedmiotowiane, stają się przedmiotem zabawy, ciekawostką urozmaicającą czas wolny,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bawidełkiem dostępnym w każdej wolnej chwili. Analizie poddany zostanie materiał memuarystyczny.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Od Sopotu po Stogi. Powstanie i rozwój ką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pielisk morskich w okolicach Gdańska (do 1914 r.)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ykład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historię powstania i rozwoju kąpielisk morskich w okolicach Gdańska</w:t>
            </w:r>
          </w:p>
          <w:p w:rsidR="002907C0" w:rsidRDefault="002C307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 świadomy kulturotwórczej roli wolnego czasu, wypoczynku i kąpielisk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dla społeczeństwa przed I wojną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światową</w:t>
            </w:r>
          </w:p>
          <w:p w:rsidR="002907C0" w:rsidRDefault="002C307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odnieść problematykę rozwoju kąpielisk do zagadnienia rodzącej się kultury popularnej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Wykład będzie syntetycznym ujęciem powstania i rozwoju kąpielisk w okolicach Gdańska (kąpieliska w Jelitkowie, Brzeźnie, na Westerplatte,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Wisłoujściu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Stogach – powstanie, kwestie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własnościowe, infrastruktura, goście, oferta kulturalna i rozrywki, komunikacja).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Infrastruktura kąpieliska sopockiego w XIX i XX wieku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terenowe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potrafi rozpoznać najważniejsze elementy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infrastruktury kąpielisk i miejsc wypoczynkowych w Sopocie</w:t>
            </w:r>
          </w:p>
          <w:p w:rsidR="002907C0" w:rsidRDefault="002C307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i rozumie specyfikę regionu Trójmiasta w odniesieniu do badań nad kulturą i historią czasu wolnego</w:t>
            </w:r>
          </w:p>
          <w:p w:rsidR="002907C0" w:rsidRDefault="002C307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momenty przełomowe w historii rozwoju Sopotu.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układem przestrzennym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IX-wiecznego kąpieliska, jego infrastrukturą, zachowanymi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przykładami architektury kąpieliskowej (Zakład Balneologiczny, Łazienki Południowe, molo),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architektury pensjonatowo-hotelowej (np. pensjonat Eden). Wizyta w Muzeum Sopotu.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Wolny czas w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perze, teatrze i na sali koncertowej - perspektywa historii sztuki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ykład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3" w:name="__DdeLink__323_857379954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najważniejszą problematykę dotyczącą spędzania czasu wolnego w gmachach teatralny w XIX wieku</w:t>
            </w:r>
          </w:p>
          <w:p w:rsidR="002907C0" w:rsidRDefault="002C307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potrafi opisać najważniejsze wydarzenia kulturowe towarzyszące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spotkaniom w teatrach i operach</w:t>
            </w:r>
          </w:p>
          <w:p w:rsidR="002907C0" w:rsidRDefault="002C307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rozumie kulturotwórczą wartość instytucji teatralnych i operowych w XIX wieku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mają charakter wykładu problemowego. Mówione zostaną zarówno aspekty przeżywania sztuki w gmachach oper i teatrów, jak i również przestaw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ione zostaną użytkowe walory omawianych instytucji.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Muzea i wystawy powszechne jako miejsce przeżywania nowych wartości kultury (XIX wiek)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terenowe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część zbiorów Muzeum Narodowego w Gdańsku</w:t>
            </w:r>
          </w:p>
          <w:p w:rsidR="002907C0" w:rsidRDefault="002C30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jest świadom specyficznej roli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wystaw i muzeów w kulturze</w:t>
            </w:r>
          </w:p>
          <w:p w:rsidR="002907C0" w:rsidRDefault="002C30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wskazać najważniejsze elementy instytucji muzealniczych w XIX wieku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zajęciach wykorzystany zostanie zasób Muzeum Narodowego w Gdańsku – analizie poddane zostaną zarówno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eksponaty muzealne, jak i sam sposób ich prezent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acji, który omówiony będzie w szerszej perspektywie porównawczej, w której odniesiemy się do muzealniczej idei XIX i XX wieku.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Płeć i kategoria czasu wolnego w międzywojennej Polsce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ykład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 definicję czasu wolnego w dwudziestoleciu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międzywojennym</w:t>
            </w:r>
          </w:p>
          <w:p w:rsidR="002907C0" w:rsidRDefault="002C30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specyfikę spędzania czasu przez kobiety i mężczyzn w latach 20. i 30. XX wieku</w:t>
            </w:r>
          </w:p>
          <w:p w:rsidR="002907C0" w:rsidRDefault="002C30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wskazać najważniejsze cechy spędzania wolnego czasu w różnych grupach społecznych II Rzeczpospolitej.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zajęciach zastanawiać się będziemy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definiowaniem kategorii czasu wolnego w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dwudziestoleciu międzywojennym oraz specyfiką jego spędzania przez kobiety i mężczyzn.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Poszukamy odpowiedzi na pytanie o zróżnicowanie sposobów spędzania czasu wolnego przez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przedstawicieli obu płci w różnych środowi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skach społecznych II Rzeczypospolitej. Istotnym punktem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naszych rozważań będzie też zastanowienie się nad rolą wypoczynku nadmorskiego w kontekście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definiowania czasu wolnego. Wykorzystywać będziemy prasę kobiecą, fotografie oraz źródła osobiste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(dzienniki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pamiętniki i wspomnienia)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Turysta w Gdyni do 1939 - Stare i nowe formy spędzania czasu wolnego wykład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Wykład/warsztaty terenowe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część zbiorów Muzeum Gdyni</w:t>
            </w:r>
          </w:p>
          <w:p w:rsidR="002907C0" w:rsidRDefault="002C30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 świadom rozmaitych form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spędzania czasu wolnego do 1939 roku</w:t>
            </w:r>
          </w:p>
          <w:p w:rsidR="002907C0" w:rsidRDefault="002C30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opowiedzieć o rozwoju turystyki na terenie Gdyni do wybuchu II wojny światowej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zajęciach zostanie zaprezentowany wykład, który wprowadzi uczestników w tematykę zbiorów Muzeum Miasta Gdyni. Następnie podczas spaceru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Muzeum uczestnicy poddadzą analizi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eksponaty muzealne i przedstawią ich wartość i znaczenie w kontekście kategorii czasu wolnego.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pStyle w:val="western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</w:t>
            </w:r>
            <w:r>
              <w:rPr>
                <w:color w:val="000000"/>
                <w:sz w:val="24"/>
                <w:szCs w:val="24"/>
              </w:rPr>
              <w:t>W zdrowym ciele zdrowy duch” wzorce aktywnego spędzania czasu wolnego w międzywojennej Polsce.</w:t>
            </w: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wiczenia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 metody badań źródeł prasowych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osobistych w kontekście czasu wolnego</w:t>
            </w:r>
          </w:p>
          <w:p w:rsidR="002907C0" w:rsidRDefault="002C307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zastosować kategorię płci i dostrzec, w jaki sposób wpływa na interpretację materiału źródłowego</w:t>
            </w:r>
          </w:p>
          <w:p w:rsidR="002907C0" w:rsidRDefault="002C307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przedstawić relację płci w różnych środowiskach II Rzeczpospolitej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zajęciach analizie poddany 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stanie materiał prasowy, fotograficzny, radiowy i filmowy pochodzący z epoki XX-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międzywojennego. Będziemy się również zastanawiać nad rolą aktywnego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wypoczynku, związkami higieny, zdrowia i sportu. Postaramy się odpowiedzieć jaką rolę odgrywało w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zentowaniu tych wzorów morza. Spróbujemy wskazać w jaki sposób próbowano docierać do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opinii publicznej z nowymi wzorami spędzania czasu wolnego.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Modernizm i architektura Trójmiasta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terenowe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 podstawową problematykę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dotyczącą architektury modernistycznej na terenie Trójmiasta</w:t>
            </w:r>
          </w:p>
          <w:p w:rsidR="002907C0" w:rsidRDefault="002C3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rozumie znaczenie infrastruktury wypoczynkowej w kontekście spędzania czasu wolnego</w:t>
            </w:r>
          </w:p>
          <w:p w:rsidR="002907C0" w:rsidRDefault="002C30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rozumie wpływ architektury na życie codzienne mieszkańców Trójmiasta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będą prowadzone będą w terenie,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ykorzystując przestrzeń miejską do zaprezentowania zmieniających się wzorców architektonicznych. Uczestnicy zapoznają się z historią najważniejszych budynków modernistycznych na terenie Trójmiasta.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jako metoda badań nad czasem wolnym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przestrzenią. Przypadek pracowniczek Stoczni Gdańskiej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terenowe /ćwiczenia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pogłębił wiedzy na temat czasu wolnego w perspektywie różnic ze względu na płeć w powojennej Polsce</w:t>
            </w:r>
          </w:p>
          <w:p w:rsidR="002907C0" w:rsidRDefault="002C307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zdobywa wiedzę na temat organizacji czasu wolnego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ramach socjalistycznego zakładu pracy (na przykładzie Stoczni Gdańskiej)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studium przypadku − czasu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wolnego w Stoczni Gdańskiej, na podstawie relacji byłych pracowniczek − będzie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do dyskusji na temat konstruowania badań − problematyzacji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tegorii,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poznawczego potencjału sytuacji granicznych i wykraczających poza modelowe rozumienie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czasu wolnego.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analiza studium przypadku konstruktywistycznego wymiaru kategorii „czasu wolnego”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wiczenia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 analizować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źródło (relację ustną), z wykorzystaniem nowych narzędzi analitycznych (etnolingwistyka, antropologia słowa, kulturoznawstwo)</w:t>
            </w:r>
          </w:p>
          <w:p w:rsidR="002907C0" w:rsidRDefault="002C307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umiejętności konstruowania kategorii badawczych i oceny epistemologicznych konsekwencji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Będziemy analizować fragmenty wywi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adów (nagrania i transkrypcji), by ustalić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podobieństwa i różnice źródła mówionego do pisanych źródeł biograficznych i zmierzyć się z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nieklasycznymi narzędziami interpretacji.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performance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terenowe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zorganizować i poprowadzić pracę w zespole</w:t>
            </w:r>
          </w:p>
          <w:p w:rsidR="002907C0" w:rsidRDefault="002C307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określić i rozróżnić potencjał historii mówionej w badaniach naukowych, popularyzacji i edukacji nad historią czasu wolnego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Narzędziem ćwiczeń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praktycznych będzie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którego doktoranci w oparciu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zdobytą wiedzę (i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dotychczasowe doświadczenia) przygotują i odegrają krótkie sceny „Anty-poradnik historii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mówionej” którego celem będzie przedstawienie sytuacji, w których dochodzi do złamania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 obowiązujących w badaniach historii mówionej.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wolny, rynek i struktura społeczna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perspektywie socjologicznej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Ć</w:t>
            </w:r>
            <w:r w:rsidR="002C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wiczenia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socjologiczne metody badania czasu wolnego</w:t>
            </w:r>
          </w:p>
          <w:p w:rsidR="002907C0" w:rsidRDefault="002C30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problematykę komercjalizacji czasu wolnego: wielkość i dynamikę rynku usług „zagospodarowujących” czas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wolny (usługi w zakresie kultury, usługi związane z aktywną rekreacją, odnową biologiczną, turystyczne, gastronomiczne, rozrywkowe, medialne</w:t>
            </w:r>
          </w:p>
          <w:p w:rsidR="002907C0" w:rsidRDefault="002C30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wzory spędzania wolnego czasu w Polsce (w porównaniu z UE), w ujęciu dynamicznym oraz w odniesieniu do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truktury społecznej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Zajęcia zakładają zapoznanie się z różnego rodzaju źródłami danych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odnośnie czasu wolnego (Eurostat, GUS, CBOS) i rekonstrukcję zawartych w narzędziach badawczych przesłanek; dyskusję nad wzorami spędzania wolnego czasu na podstawie wyn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ików badań: kto ma, a kto nie ma wolnego czasu; zapoznanie się z przykładami dyskursów eksperckich i medialnych (kompulsja aktywności; o czym świadczy brak wolnego czasu; „właściwe” i „niewłaściwe” spędzanie wolnego czasu).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Moralność czasu wolnego. Kto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sługiwał na czas wolny i jak miał go spędzać w powojennej Polsce (1945-1989)</w:t>
            </w: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2C3078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problematykę uspołecznienia i prywatyzacji czasu wolnego</w:t>
            </w:r>
          </w:p>
          <w:p w:rsidR="002907C0" w:rsidRDefault="002C307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problematykę związku czasu wolnego z pracą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zakładają korzystanie ze zróżni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cowanych źródeł: od reprezentujących dyskurs ekspercki na temat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czasu wolnego po zapiski osobiste (fragmenty pamiętników, listy do redakcji popularnych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czasopism). Analizie poddane zostaną fragmenty Polskiej Kroniki Filmowej oraz film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funkcjonujący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ramach „czarnej serii” polskich dokumentów, jej celem będzie próba</w:t>
            </w:r>
          </w:p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wyjścia po ustalone ramy interpretacyjne widzące w nich prosty przekaz propagandowy.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społeczny PRL</w:t>
            </w:r>
          </w:p>
          <w:p w:rsidR="002907C0" w:rsidRDefault="002907C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</w:t>
            </w:r>
            <w:r w:rsidR="002C3078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podstawowe teorie socjologiczne dotyczące czasu wol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</w:p>
          <w:p w:rsidR="002907C0" w:rsidRDefault="002C30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przeanalizować materiał fotograficzny w odniesieniu do badań socjologicznych</w:t>
            </w:r>
          </w:p>
          <w:p w:rsidR="002907C0" w:rsidRDefault="002C30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opowiedzieć o sposobach spędzania czasu wolnego w PRL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odniesieniu do teorii i badań socjologicznych uczestnicy warsztatów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będą analizować przedstawiane im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hoc źródła różnego rodzaju, w szczególności materiały fotograficzne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diarystyczne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dotyczące różnych aspektów spędzania czasu wolnego przez obywateli PRL lat 1950-1980. Analiza obrazów i zapisów połączona z refleksją o różnych rodzajach czasu społeczneg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wpływem warunków gospodarczo-społecznych PRL na postrzeganie czasu.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Symboliczne odniesienia do kultury czasu wolnego w PRL</w:t>
            </w:r>
          </w:p>
          <w:p w:rsidR="002907C0" w:rsidRDefault="002907C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907C0" w:rsidRDefault="0029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2C3078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różne antropologiczne znaczenia dotyczące przedmiotów codziennego użytku</w:t>
            </w:r>
          </w:p>
          <w:p w:rsidR="002907C0" w:rsidRDefault="002C30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opowiedzieć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przedmiotach codziennego użytku w kontekście czasu wolnego</w:t>
            </w:r>
          </w:p>
          <w:p w:rsidR="002907C0" w:rsidRDefault="002C30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zastosowanie niektórych przedmiotów codziennego użytku w kontekście przemian społeczno-kulturowych epoki PRL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Uczestnicy otrzymają rozmaite artefakty i będą w małych grupach starali się wydobyć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nich różne skojarzenia symboliczne (semiotyczne), odnosząc się do postrzegania czasu przez człowieka nowoczesnego.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Interdyscyplinarne seminaria doktoranckie</w:t>
            </w: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3078">
              <w:rPr>
                <w:rFonts w:ascii="Times New Roman" w:hAnsi="Times New Roman" w:cs="Times New Roman"/>
                <w:sz w:val="24"/>
                <w:szCs w:val="24"/>
              </w:rPr>
              <w:t>eminarium</w:t>
            </w: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syntetycznie prezentować materiał źródłowy</w:t>
            </w:r>
          </w:p>
          <w:p w:rsidR="002907C0" w:rsidRDefault="002C307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dyskusji na temat wystąpień innych uczestników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zajęć prezentują swoje wystąpienia, które dotyczyć będą powiązań kategorii czasu wolnego z ich rozprawami doktorskimi.</w:t>
            </w:r>
          </w:p>
        </w:tc>
      </w:tr>
      <w:tr w:rsidR="002907C0">
        <w:tc>
          <w:tcPr>
            <w:tcW w:w="2443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Labolatorium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performance</w:t>
            </w:r>
          </w:p>
        </w:tc>
        <w:tc>
          <w:tcPr>
            <w:tcW w:w="1962" w:type="dxa"/>
            <w:shd w:val="clear" w:color="auto" w:fill="auto"/>
          </w:tcPr>
          <w:p w:rsidR="002907C0" w:rsidRDefault="00BC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3078">
              <w:rPr>
                <w:rFonts w:ascii="Times New Roman" w:hAnsi="Times New Roman" w:cs="Times New Roman"/>
                <w:sz w:val="24"/>
                <w:szCs w:val="24"/>
              </w:rPr>
              <w:t>eminarium</w:t>
            </w:r>
          </w:p>
        </w:tc>
        <w:tc>
          <w:tcPr>
            <w:tcW w:w="3282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zajęć:</w:t>
            </w:r>
          </w:p>
          <w:p w:rsidR="002907C0" w:rsidRDefault="002C30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pracować w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2907C0" w:rsidRDefault="002C30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współtworzyć scenariusz performance</w:t>
            </w:r>
          </w:p>
        </w:tc>
        <w:tc>
          <w:tcPr>
            <w:tcW w:w="2660" w:type="dxa"/>
            <w:shd w:val="clear" w:color="auto" w:fill="auto"/>
          </w:tcPr>
          <w:p w:rsidR="002907C0" w:rsidRDefault="002C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Uczestnicy za pomocą sprzętu audiowizualnego nagrywają własne performance, zgodnie z wcześniej przygotowywanymi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siebie scenariuszami.</w:t>
            </w:r>
          </w:p>
        </w:tc>
      </w:tr>
    </w:tbl>
    <w:p w:rsidR="002907C0" w:rsidRDefault="002907C0">
      <w:pPr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LITERATURA PRZEDMIOTU OBLIGATORYJNA</w:t>
      </w:r>
    </w:p>
    <w:p w:rsidR="002907C0" w:rsidRDefault="002C3078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prowadzących ćwiczenia i </w:t>
      </w:r>
      <w:r>
        <w:rPr>
          <w:rFonts w:ascii="Times New Roman" w:hAnsi="Times New Roman" w:cs="Times New Roman"/>
          <w:sz w:val="24"/>
          <w:szCs w:val="24"/>
        </w:rPr>
        <w:t>warsztaty terenowe przygotuje swój oddzielny sylabus, w którym uwzględni literaturę obowiązkową i zalecaną. Bibliografia zostanie przekazana uczestnikom po zakończeniu procesu rekrutacyjnego.</w:t>
      </w: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LITERATURA PRZEDMIOTU ZALECANA</w:t>
      </w:r>
    </w:p>
    <w:p w:rsidR="002907C0" w:rsidRDefault="002C30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Patrz: pkt 11.</w:t>
      </w:r>
    </w:p>
    <w:p w:rsidR="002907C0" w:rsidRDefault="00CE263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  <w:sectPr w:rsidR="002907C0">
          <w:headerReference w:type="default" r:id="rId7"/>
          <w:footerReference w:type="default" r:id="rId8"/>
          <w:pgSz w:w="11906" w:h="16838"/>
          <w:pgMar w:top="1417" w:right="1417" w:bottom="1417" w:left="1417" w:header="426" w:footer="353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PLAN ZAJĘĆ  - w osobnym  pliku.</w:t>
      </w:r>
    </w:p>
    <w:p w:rsidR="002907C0" w:rsidRDefault="002907C0">
      <w:pPr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WERYFIKACJI EFEKTÓW KSZTAŁCENIA DLA SZKOŁY LETNIEJ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ierwszym warunkiem</w:t>
      </w:r>
      <w:r>
        <w:rPr>
          <w:rFonts w:ascii="Times New Roman" w:hAnsi="Times New Roman" w:cs="Times New Roman"/>
          <w:sz w:val="24"/>
          <w:szCs w:val="24"/>
        </w:rPr>
        <w:t xml:space="preserve"> zaliczenia szkoły letniej będzie uczestnictwo w zajęciach. Obecność będzie weryfikowana przed każdymi zajęciami na podstawie listy obecności. Pierwszego dnia przeprowadzony zostanie test składający się z pytań zamkniętych jednokrotnego wyboru, sprawdzając</w:t>
      </w:r>
      <w:r>
        <w:rPr>
          <w:rFonts w:ascii="Times New Roman" w:hAnsi="Times New Roman" w:cs="Times New Roman"/>
          <w:sz w:val="24"/>
          <w:szCs w:val="24"/>
        </w:rPr>
        <w:t>y wiedzę uczestników na temat kategorii czasu wolnego w badaniach nad XIX i XX wiekiem. Ostatniego dnia uczestnicy podejdą do tego samego testu, dzięki czemu możliwe będzie porównanie stanu wiedzy uczestników w momencie rozpoczęcia i ukończenia szkoły letn</w:t>
      </w:r>
      <w:r>
        <w:rPr>
          <w:rFonts w:ascii="Times New Roman" w:hAnsi="Times New Roman" w:cs="Times New Roman"/>
          <w:sz w:val="24"/>
          <w:szCs w:val="24"/>
        </w:rPr>
        <w:t>iej. Uzyskanie pozytywnego wyniku testu możliwe jest po uzyskaniu 60% poprawnych odpowiedzi. Uczestnicy będą zobowiązani do wygłoszenia 20-minutowego wystąpienia podczas interdyscyplinarnego seminarium doktoranckiego dotyczącego wykorzystania kategorii cza</w:t>
      </w:r>
      <w:r>
        <w:rPr>
          <w:rFonts w:ascii="Times New Roman" w:hAnsi="Times New Roman" w:cs="Times New Roman"/>
          <w:sz w:val="24"/>
          <w:szCs w:val="24"/>
        </w:rPr>
        <w:t>su wolnego w kontekście własnych badań naukowych. Pisemny konspekt z każdego z wystąpień zostanie zarchiwizowany i załączony do raportu końcowego ze szkoły letniej.</w:t>
      </w:r>
    </w:p>
    <w:p w:rsidR="002907C0" w:rsidRDefault="002907C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SYLWETKA KANDYDATA/KOMPETENCJE WYMAGANE NA STARCIE </w:t>
      </w:r>
    </w:p>
    <w:p w:rsidR="002907C0" w:rsidRDefault="002C3078">
      <w:pPr>
        <w:pStyle w:val="Akapitzlist"/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adresowana jest do doktorantów </w:t>
      </w:r>
      <w:r>
        <w:rPr>
          <w:rFonts w:ascii="Times New Roman" w:hAnsi="Times New Roman" w:cs="Times New Roman"/>
          <w:sz w:val="24"/>
          <w:szCs w:val="24"/>
        </w:rPr>
        <w:t>specjalizujących się w badaniach nad XIX i XX wiekiem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dyscyplin humanistycznych i społecznych takich jak: historia, literaturoznawstwo, nauki o kulturze i religii, nauki o sztuce, nauki socjologiczne. Od kandydatów oczekiwana jest umiejętność pow</w:t>
      </w:r>
      <w:r>
        <w:rPr>
          <w:rFonts w:ascii="Times New Roman" w:hAnsi="Times New Roman" w:cs="Times New Roman"/>
          <w:sz w:val="24"/>
          <w:szCs w:val="24"/>
        </w:rPr>
        <w:t>iązania i przedstawienia użyteczności kategorii czasu wolnego w kontekście przygotowywanej rozprawy doktorskiej.</w:t>
      </w:r>
    </w:p>
    <w:p w:rsidR="002907C0" w:rsidRDefault="002907C0">
      <w:pPr>
        <w:pStyle w:val="Akapitzlist"/>
        <w:spacing w:after="0" w:line="360" w:lineRule="auto"/>
        <w:ind w:left="567" w:firstLine="142"/>
        <w:jc w:val="both"/>
        <w:rPr>
          <w:rFonts w:ascii="Times New Roman" w:hAnsi="Times New Roman" w:cs="Times New Roman"/>
        </w:rPr>
      </w:pPr>
    </w:p>
    <w:p w:rsidR="002907C0" w:rsidRDefault="002C3078" w:rsidP="00CE263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SZCZEGÓŁOWE ZASADY I SPOSÓB PRZEPROWADZENIA REKRUTACJI Kandydat  ubiegający się o możliwość wzięcia udziału w szkole letniej zobowiązany jest </w:t>
      </w:r>
      <w:r>
        <w:rPr>
          <w:rFonts w:ascii="Times New Roman" w:hAnsi="Times New Roman" w:cs="Times New Roman"/>
          <w:sz w:val="24"/>
          <w:szCs w:val="24"/>
        </w:rPr>
        <w:t xml:space="preserve">do wypełnienia formularza zgłoszeniowego dostępnego na stronie ZIP.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do szkoły letniej decyduje kolejność zgłoszeń. W przypadku większej liczby chętnych, niż miejsc, decydować będzie wykazany w opisie związek między tematem szkoły a problematyką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rozprawy doktorskiej.</w:t>
      </w:r>
    </w:p>
    <w:p w:rsidR="002907C0" w:rsidRDefault="002907C0" w:rsidP="00CE2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WARUNKI UKOŃCZENIA SZKOŁY LETNIEJ I UZYSKANIA DYPLOMU</w:t>
      </w:r>
    </w:p>
    <w:p w:rsidR="002907C0" w:rsidRDefault="002C307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Zaliczenie szkoły letniej wymaga spełnienia następujących warunków:</w:t>
      </w:r>
    </w:p>
    <w:p w:rsidR="002907C0" w:rsidRDefault="002C30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uczestnictwa w zajęciach, </w:t>
      </w:r>
    </w:p>
    <w:p w:rsidR="002907C0" w:rsidRDefault="002C30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przygotowania 20-minutowego wystąpienia podczas interdyscyplinarnych seminariów dok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toranckich, </w:t>
      </w:r>
    </w:p>
    <w:p w:rsidR="002907C0" w:rsidRDefault="002C30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konspektu wystąpienia u organizatora </w:t>
      </w:r>
    </w:p>
    <w:p w:rsidR="002907C0" w:rsidRDefault="002C30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zaliczenia testu końcowego. </w:t>
      </w:r>
    </w:p>
    <w:p w:rsidR="002907C0" w:rsidRDefault="002907C0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WYKAZ NAUCZYCIELI AKADEMICKICH PROWADZĄCYCH ZAJĘCIA WRAZ ZE WSKAZANIEM KOMPETENCJI NAUKOWO-DYDAKTYCZNYCH. </w:t>
      </w: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 xml:space="preserve">prof. dr hab. Tadeusz </w:t>
      </w:r>
      <w:proofErr w:type="spellStart"/>
      <w:r>
        <w:rPr>
          <w:b/>
        </w:rPr>
        <w:t>Stegner</w:t>
      </w:r>
      <w:proofErr w:type="spellEnd"/>
      <w:r>
        <w:t xml:space="preserve"> (Uniwersytet Gdański) – histo</w:t>
      </w:r>
      <w:r>
        <w:t xml:space="preserve">ryk XIX i XX wieku. Zainteresowania badawcze skoncentrowane wokół regionu nadbałtyckiego oraz historii życia codziennego. Autor książki </w:t>
      </w:r>
      <w:r>
        <w:rPr>
          <w:i/>
        </w:rPr>
        <w:t>Historia turystyki. Polska i świat</w:t>
      </w:r>
      <w:r>
        <w:t xml:space="preserve"> oraz współautor </w:t>
      </w:r>
      <w:r>
        <w:rPr>
          <w:rStyle w:val="Wyrnienie"/>
          <w:iCs w:val="0"/>
          <w:color w:val="282828"/>
          <w:shd w:val="clear" w:color="auto" w:fill="FFFFFF"/>
        </w:rPr>
        <w:t>Po słońce i wodę. Polscy letnicy nad Bałtykiem w XIX i w pierwszej po</w:t>
      </w:r>
      <w:r>
        <w:rPr>
          <w:rStyle w:val="Wyrnienie"/>
          <w:iCs w:val="0"/>
          <w:color w:val="282828"/>
          <w:shd w:val="clear" w:color="auto" w:fill="FFFFFF"/>
        </w:rPr>
        <w:t>łowie XX wieku</w:t>
      </w:r>
      <w:r>
        <w:rPr>
          <w:rStyle w:val="Wyrnienie"/>
          <w:i w:val="0"/>
          <w:iCs w:val="0"/>
          <w:color w:val="282828"/>
          <w:shd w:val="clear" w:color="auto" w:fill="FFFFFF"/>
        </w:rP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>prof. dr hab. Jerzy Miziołek</w:t>
      </w:r>
      <w:r>
        <w:t xml:space="preserve"> (Uniwersytet Warszawski) – historyk sztuki i archeolog, dyrektor Muzeum Narodowego w Warszawie. Badacz sztuki europejskiej od późnego antyku po współczesność, ze szczególnym uwzględnieniem kultury artystycznej </w:t>
      </w:r>
      <w:r>
        <w:t>epoki renesansu oraz recepcji sztuki antyku we Włoszech i w Polsce.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>dr hab. Małgorzata Karpińska prof. UW</w:t>
      </w:r>
      <w:r>
        <w:t xml:space="preserve"> (Uniwersytet Warszawski) – historyczka XIX wieku, Dziekan Wydziału Historycznego, Kierownik Zakładu XIX wieku, członek redakcji „Przeglądu Historyczn</w:t>
      </w:r>
      <w:r>
        <w:t xml:space="preserve">ego”. Zainteresowania badawcze skoncentrowane wokół historii społecznej i mentalności w XIX wieku. Autorka książek </w:t>
      </w:r>
      <w:r>
        <w:rPr>
          <w:i/>
          <w:color w:val="211F1F"/>
          <w:shd w:val="clear" w:color="auto" w:fill="FFFFFF"/>
        </w:rPr>
        <w:t>Złodzieje, agenci policyjni, strażnicy. Przestępstwa pospolite w Warszawie 1815-1830</w:t>
      </w:r>
      <w:r>
        <w:rPr>
          <w:color w:val="211F1F"/>
          <w:shd w:val="clear" w:color="auto" w:fill="FFFFFF"/>
        </w:rPr>
        <w:t xml:space="preserve"> oraz </w:t>
      </w:r>
      <w:r>
        <w:rPr>
          <w:i/>
          <w:color w:val="211F1F"/>
          <w:shd w:val="clear" w:color="auto" w:fill="FFFFFF"/>
        </w:rPr>
        <w:t xml:space="preserve">„Nie ma Mikołaja!” Starania o kształt sejmu w </w:t>
      </w:r>
      <w:r>
        <w:rPr>
          <w:i/>
          <w:color w:val="211F1F"/>
          <w:shd w:val="clear" w:color="auto" w:fill="FFFFFF"/>
        </w:rPr>
        <w:t>powstaniu listopadowym 1830-1831</w:t>
      </w:r>
      <w:r>
        <w:rPr>
          <w:color w:val="211F1F"/>
          <w:shd w:val="clear" w:color="auto" w:fill="FFFFFF"/>
        </w:rP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>dr hab. Anna Giza-</w:t>
      </w:r>
      <w:proofErr w:type="spellStart"/>
      <w:r>
        <w:rPr>
          <w:b/>
        </w:rPr>
        <w:t>Poleszczuk</w:t>
      </w:r>
      <w:proofErr w:type="spellEnd"/>
      <w:r>
        <w:rPr>
          <w:b/>
        </w:rPr>
        <w:t xml:space="preserve"> prof. UW</w:t>
      </w:r>
      <w:r>
        <w:t xml:space="preserve"> (Uniwersytet Warszawski) – socjolożka, zainteresowania badawcze skoncentrowane wokół socjologii rodziny. Autorka książki </w:t>
      </w:r>
      <w:r>
        <w:rPr>
          <w:i/>
        </w:rPr>
        <w:t>Rodzina a system społeczny. Reprodukcja a kooperacja w perspek</w:t>
      </w:r>
      <w:r>
        <w:rPr>
          <w:i/>
        </w:rPr>
        <w:t>tywie interdyscyplinarnej</w:t>
      </w:r>
      <w:r>
        <w:t xml:space="preserve"> oraz </w:t>
      </w:r>
      <w:r>
        <w:rPr>
          <w:i/>
          <w:color w:val="222222"/>
          <w:shd w:val="clear" w:color="auto" w:fill="FFFFFF"/>
        </w:rPr>
        <w:t>Przemiany więzi społecznych. Zarys teorii zmiany społecznej</w:t>
      </w:r>
      <w:r>
        <w:rPr>
          <w:color w:val="222222"/>
          <w:shd w:val="clear" w:color="auto" w:fill="FFFFFF"/>
        </w:rP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>dr hab. Katarzyna Sierakowska</w:t>
      </w:r>
      <w:r>
        <w:t xml:space="preserve"> </w:t>
      </w:r>
      <w:r>
        <w:rPr>
          <w:b/>
        </w:rPr>
        <w:t>prof. IH PAN</w:t>
      </w:r>
      <w:r>
        <w:t xml:space="preserve"> (Instytut Historyczny Polskiej Akademii Nauk) – historyczka XIX i XX wieku. Zainteresowania badawcze skoncentrowane wokół historii kobiet oraz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w czasie I wojny światowej oraz dwudziestoleciu międzywojennym. Autorka książek </w:t>
      </w:r>
      <w:r>
        <w:rPr>
          <w:rStyle w:val="Wyrnienie"/>
          <w:color w:val="000000"/>
          <w:shd w:val="clear" w:color="auto" w:fill="FFFFFF"/>
        </w:rPr>
        <w:t xml:space="preserve">Rodzice, dzieci, </w:t>
      </w:r>
      <w:r>
        <w:rPr>
          <w:rStyle w:val="Wyrnienie"/>
          <w:color w:val="000000"/>
          <w:shd w:val="clear" w:color="auto" w:fill="FFFFFF"/>
        </w:rPr>
        <w:t>dziadkowie… Wielkomiejska rodzina inteligencka w Polsce 1918–1939 oraz „Śmierć – Wygnanie – Głód w dokumentach osobistych. Ziemie polskie w latach Wielkiej Wojny 1914–1918</w:t>
      </w:r>
      <w:r>
        <w:rPr>
          <w:i/>
          <w:iCs/>
          <w:color w:val="000000"/>
          <w:shd w:val="clear" w:color="auto" w:fill="FFFFFF"/>
        </w:rP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lastRenderedPageBreak/>
        <w:t>dr hab. Błażej Brzostek</w:t>
      </w:r>
      <w:r>
        <w:t xml:space="preserve"> (Uniwersytet Warszawski) – historyk XX wieku, członek reda</w:t>
      </w:r>
      <w:r>
        <w:t xml:space="preserve">kcji czasopisma „Mówią Wieki”. Zainteresowania badawcze skoncentrowane wokół historii społecznej m.in. codziennego życia w PRL. Autor książek </w:t>
      </w:r>
      <w:r>
        <w:rPr>
          <w:i/>
        </w:rPr>
        <w:t>Robotnicy Warszawy. Konflikty codzienne (1950-1954)</w:t>
      </w:r>
      <w:r>
        <w:t xml:space="preserve">, </w:t>
      </w:r>
      <w:r>
        <w:rPr>
          <w:i/>
        </w:rPr>
        <w:t>Za progiem. Codzienność w przestrzeni publicznej Warszawy 195</w:t>
      </w:r>
      <w:r>
        <w:rPr>
          <w:i/>
        </w:rPr>
        <w:t>5-1970</w:t>
      </w:r>
      <w:r>
        <w:t xml:space="preserve"> oraz </w:t>
      </w:r>
      <w:r>
        <w:rPr>
          <w:i/>
        </w:rPr>
        <w:t>Paryże Innej Europy. Warszawa i Bukareszt, XIX i XX wiek</w:t>
      </w:r>
      <w: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>dr Katarzyna Stańczak-</w:t>
      </w:r>
      <w:proofErr w:type="spellStart"/>
      <w:r>
        <w:rPr>
          <w:b/>
        </w:rPr>
        <w:t>Wiślicz</w:t>
      </w:r>
      <w:proofErr w:type="spellEnd"/>
      <w:r>
        <w:t xml:space="preserve"> (Instytut Badań Literackich Polskiej Akademii Nauk) – historyczka, literaturoznawczyni, członkini zespołu „Archiwum Kobiet”. Zainteresowania badawcze skupi</w:t>
      </w:r>
      <w:r>
        <w:t xml:space="preserve">one wokół historii życia codziennego, polskiej literatury popularnej XX w. oraz zagadnień piśmiennictwa intymnego. Autorka książki </w:t>
      </w:r>
      <w:r>
        <w:rPr>
          <w:rStyle w:val="Wyrnienie"/>
          <w:iCs w:val="0"/>
          <w:color w:val="000000"/>
          <w:shd w:val="clear" w:color="auto" w:fill="FFFFFF"/>
        </w:rPr>
        <w:t>Opowieści</w:t>
      </w:r>
      <w:r>
        <w:rPr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</w:t>
      </w:r>
      <w:r>
        <w:rPr>
          <w:iCs/>
          <w:color w:val="000000"/>
          <w:shd w:val="clear" w:color="auto" w:fill="FFFFFF"/>
        </w:rPr>
        <w:t> </w:t>
      </w:r>
      <w:r>
        <w:rPr>
          <w:rStyle w:val="Wyrnienie"/>
          <w:iCs w:val="0"/>
          <w:color w:val="000000"/>
          <w:shd w:val="clear" w:color="auto" w:fill="FFFFFF"/>
        </w:rPr>
        <w:t>trudach życia</w:t>
      </w:r>
      <w:r>
        <w:rPr>
          <w:iCs/>
          <w:color w:val="000000"/>
          <w:shd w:val="clear" w:color="auto" w:fill="FFFFFF"/>
        </w:rPr>
        <w:t>. </w:t>
      </w:r>
      <w:r>
        <w:rPr>
          <w:rStyle w:val="Wyrnienie"/>
          <w:iCs w:val="0"/>
          <w:color w:val="000000"/>
          <w:shd w:val="clear" w:color="auto" w:fill="FFFFFF"/>
        </w:rPr>
        <w:t>Narracje zwierzeniowe</w:t>
      </w:r>
      <w:r>
        <w:rPr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w</w:t>
      </w:r>
      <w:r>
        <w:rPr>
          <w:iCs/>
          <w:color w:val="000000"/>
          <w:shd w:val="clear" w:color="auto" w:fill="FFFFFF"/>
        </w:rPr>
        <w:t> </w:t>
      </w:r>
      <w:r>
        <w:rPr>
          <w:rStyle w:val="Wyrnienie"/>
          <w:iCs w:val="0"/>
          <w:color w:val="000000"/>
          <w:shd w:val="clear" w:color="auto" w:fill="FFFFFF"/>
        </w:rPr>
        <w:t>popularnej prasie kobiecej XX wieku</w:t>
      </w:r>
      <w:r>
        <w:rPr>
          <w:i/>
          <w:iCs/>
          <w:color w:val="000000"/>
          <w:shd w:val="clear" w:color="auto" w:fill="FFFFFF"/>
        </w:rP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 xml:space="preserve">dr Janusz </w:t>
      </w:r>
      <w:proofErr w:type="spellStart"/>
      <w:r>
        <w:rPr>
          <w:b/>
        </w:rPr>
        <w:t>Dargacz</w:t>
      </w:r>
      <w:proofErr w:type="spellEnd"/>
      <w:r>
        <w:t xml:space="preserve"> (Instytut Historyczny Polskiej Akademii Nauk) – historyk XIX wieku, specjalizujący się w historii Gdańska i Pomorza oraz dziejach kąpielisk morskich południowego wybrzeża Bałtyku. Autor książki </w:t>
      </w:r>
      <w:r>
        <w:rPr>
          <w:i/>
        </w:rPr>
        <w:t>Rybacy sopoccy. Dzieje sopockiego rybołówstwa od wczesnego śr</w:t>
      </w:r>
      <w:r>
        <w:rPr>
          <w:i/>
        </w:rPr>
        <w:t>edniowiecza po wiek XXI</w:t>
      </w:r>
      <w: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</w:rPr>
      </w:pPr>
    </w:p>
    <w:p w:rsidR="002907C0" w:rsidRDefault="002C3078">
      <w:pPr>
        <w:pStyle w:val="NormalnyWeb"/>
        <w:spacing w:beforeAutospacing="0" w:after="0" w:line="360" w:lineRule="auto"/>
        <w:jc w:val="both"/>
        <w:rPr>
          <w:lang w:val="en-GB"/>
        </w:rPr>
      </w:pPr>
      <w:r>
        <w:rPr>
          <w:b/>
        </w:rPr>
        <w:t>dr Dobrochna Kałwa</w:t>
      </w:r>
      <w:r>
        <w:t xml:space="preserve"> (Uniwersytet Warszawski) – historyczka XX wieku. </w:t>
      </w:r>
      <w:proofErr w:type="spellStart"/>
      <w:r>
        <w:t>Yainteresowania</w:t>
      </w:r>
      <w:proofErr w:type="spellEnd"/>
      <w:r>
        <w:t xml:space="preserve"> badawcze skoncentrowane wokół historii kobiet,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metodologii i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 Członkini Komisji Historii Kobiet oraz zespołów redakcy</w:t>
      </w:r>
      <w:r>
        <w:t>jnych „Roczników Antropologii Historii” oraz "</w:t>
      </w:r>
      <w:proofErr w:type="spellStart"/>
      <w:r>
        <w:t>Aspasia</w:t>
      </w:r>
      <w:proofErr w:type="spellEnd"/>
      <w:r>
        <w:t xml:space="preserve">. </w:t>
      </w:r>
      <w:r>
        <w:rPr>
          <w:lang w:val="en-GB"/>
        </w:rPr>
        <w:t xml:space="preserve">The International Yearbook of Central, Eastern, and </w:t>
      </w:r>
      <w:proofErr w:type="spellStart"/>
      <w:r>
        <w:rPr>
          <w:lang w:val="en-GB"/>
        </w:rPr>
        <w:t>Southeastern</w:t>
      </w:r>
      <w:proofErr w:type="spellEnd"/>
      <w:r>
        <w:rPr>
          <w:lang w:val="en-GB"/>
        </w:rPr>
        <w:t xml:space="preserve"> European Women's and Gender History".</w:t>
      </w:r>
    </w:p>
    <w:p w:rsidR="002907C0" w:rsidRDefault="002907C0">
      <w:pPr>
        <w:pStyle w:val="NormalnyWeb"/>
        <w:spacing w:beforeAutospacing="0" w:after="0" w:line="360" w:lineRule="auto"/>
        <w:jc w:val="both"/>
        <w:rPr>
          <w:b/>
          <w:lang w:val="en-US"/>
        </w:rPr>
      </w:pPr>
    </w:p>
    <w:p w:rsidR="002907C0" w:rsidRDefault="002C3078">
      <w:pPr>
        <w:pStyle w:val="NormalnyWeb"/>
        <w:spacing w:beforeAutospacing="0" w:after="0" w:line="360" w:lineRule="auto"/>
        <w:jc w:val="both"/>
      </w:pPr>
      <w:r>
        <w:rPr>
          <w:b/>
        </w:rPr>
        <w:t>mgr. inż. Grzegorz Mika</w:t>
      </w:r>
      <w:r>
        <w:t xml:space="preserve"> – architekt i varsavianista, zajmujący się badaniem polskiej i europejski</w:t>
      </w:r>
      <w:r>
        <w:t xml:space="preserve">ej architektury oraz urbanistyki nowoczesnej XX wieku. Organizator spacerów architektonicznych również po Pomorzu. Twórca i redaktor portalu „Warszawski Modernizm 1905-1939”. Autor książki </w:t>
      </w:r>
      <w:r>
        <w:rPr>
          <w:i/>
        </w:rPr>
        <w:t>Od wielkiej idei do wielkiej płyty</w:t>
      </w:r>
      <w:r>
        <w:t>.</w:t>
      </w:r>
    </w:p>
    <w:p w:rsidR="002907C0" w:rsidRDefault="002907C0">
      <w:pPr>
        <w:pStyle w:val="NormalnyWeb"/>
        <w:spacing w:beforeAutospacing="0" w:after="0" w:line="360" w:lineRule="auto"/>
        <w:jc w:val="both"/>
      </w:pPr>
    </w:p>
    <w:p w:rsidR="002907C0" w:rsidRDefault="002C30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SPOSÓB PRZEPROWADZENIA EWALUAC</w:t>
      </w:r>
      <w:r>
        <w:rPr>
          <w:rFonts w:ascii="Times New Roman" w:hAnsi="Times New Roman" w:cs="Times New Roman"/>
          <w:sz w:val="24"/>
          <w:szCs w:val="24"/>
        </w:rPr>
        <w:t xml:space="preserve">JI ZAJĘĆ I CAŁEGO PROGRAMU SZKOŁY LETNIEJ. </w:t>
      </w:r>
    </w:p>
    <w:p w:rsidR="002907C0" w:rsidRDefault="002C307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dokona ewaluacji zajęć w sposób dwuetapowy:</w:t>
      </w:r>
    </w:p>
    <w:p w:rsidR="002907C0" w:rsidRDefault="002C30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Ocena efektów kształcenia;</w:t>
      </w:r>
    </w:p>
    <w:p w:rsidR="002907C0" w:rsidRDefault="002C30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Miernikiem przyrostu wiedzy uczestników i uczestniczek będzie zmiana w wynikach testu jednokrotnego wyboru, który przeprowadzony </w:t>
      </w:r>
      <w:r>
        <w:rPr>
          <w:rFonts w:ascii="Times New Roman" w:hAnsi="Times New Roman" w:cs="Times New Roman"/>
          <w:sz w:val="24"/>
          <w:szCs w:val="24"/>
        </w:rPr>
        <w:t xml:space="preserve">zostanie na początku i na końcu szkoły. </w:t>
      </w:r>
    </w:p>
    <w:p w:rsidR="002907C0" w:rsidRDefault="002C30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Wystąpienie uczestników podczas seminarium interdyscyplinarnego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dotyczące kategorii czasu wolnego w kontekście jego/jej badań naukowych, stworzy okazję do dyskusji nad konkretnymi problemami badawczymi. Złożone kons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pekty wypowiedzi wzbogacone o wnioski z dyskusji seminaryjnej udokumentują </w:t>
      </w:r>
      <w:r>
        <w:rPr>
          <w:rFonts w:ascii="Times New Roman" w:hAnsi="Times New Roman" w:cs="Times New Roman"/>
          <w:sz w:val="24"/>
          <w:szCs w:val="24"/>
        </w:rPr>
        <w:t>w jaki sposób tematyka przeprowadzonych zajęć i kompetencje nabyte w trakcie trwania szkoły mogą wpłynąć na wykorzystanie ich w dalszej pracy badawczej każdego z uczestników.  Wskaź</w:t>
      </w:r>
      <w:r>
        <w:rPr>
          <w:rFonts w:ascii="Times New Roman" w:hAnsi="Times New Roman" w:cs="Times New Roman"/>
          <w:sz w:val="24"/>
          <w:szCs w:val="24"/>
        </w:rPr>
        <w:t>nikiem przyrostu umiejętności uczestników i uczestniczek będzie uzyskanie pozytywnej oceny z zadań zaliczeniowych przeprowadzonych w ostatnim dniu szkoły polegających na wykonaniu zadań ułożonych przez prowadzących z użyciem metod poznanych w trakcie szkoł</w:t>
      </w:r>
      <w:r>
        <w:rPr>
          <w:rFonts w:ascii="Times New Roman" w:hAnsi="Times New Roman" w:cs="Times New Roman"/>
          <w:sz w:val="24"/>
          <w:szCs w:val="24"/>
        </w:rPr>
        <w:t xml:space="preserve">y letniej </w:t>
      </w:r>
    </w:p>
    <w:p w:rsidR="002907C0" w:rsidRPr="00BC48B1" w:rsidRDefault="00BC48B1" w:rsidP="00BC48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Ankieta dot. zajęć - u</w:t>
      </w:r>
      <w:r w:rsidR="002C3078" w:rsidRPr="00BC48B1">
        <w:rPr>
          <w:rFonts w:ascii="Times New Roman" w:hAnsi="Times New Roman" w:cs="Times New Roman"/>
          <w:sz w:val="24"/>
          <w:szCs w:val="24"/>
        </w:rPr>
        <w:t>czestnicy i uczestniczki zostaną poproszeni o</w:t>
      </w:r>
      <w:r>
        <w:rPr>
          <w:rFonts w:ascii="Times New Roman" w:hAnsi="Times New Roman" w:cs="Times New Roman"/>
          <w:sz w:val="24"/>
          <w:szCs w:val="24"/>
        </w:rPr>
        <w:t xml:space="preserve"> udzielenie odpowiedzi na pytani</w:t>
      </w:r>
      <w:r w:rsidR="002C3078" w:rsidRPr="00BC48B1">
        <w:rPr>
          <w:rFonts w:ascii="Times New Roman" w:hAnsi="Times New Roman" w:cs="Times New Roman"/>
          <w:sz w:val="24"/>
          <w:szCs w:val="24"/>
        </w:rPr>
        <w:t>a otwarte dotyczące silnych i słabych stron zajęć przeprowadzonych w ramach szkoły letniej. Ponadto uczestnik szkoły letniej oceni, czy problematyk</w:t>
      </w:r>
      <w:r w:rsidR="002C3078" w:rsidRPr="00BC48B1">
        <w:rPr>
          <w:rFonts w:ascii="Times New Roman" w:hAnsi="Times New Roman" w:cs="Times New Roman"/>
          <w:sz w:val="24"/>
          <w:szCs w:val="24"/>
        </w:rPr>
        <w:t xml:space="preserve">a omawiana na warsztatach wpłynie na rozwój perspektywy badawczej w jego własnej rozprawie doktorskiej oraz wskaże, które zajęcia uważa za najbardziej wartościowe z punktu widzenia jego zainteresowań badawczych. </w:t>
      </w:r>
    </w:p>
    <w:p w:rsidR="002907C0" w:rsidRDefault="002C30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Ankieta dot. organizacji szkoły letniej, w której doktoranci ocenią organizację szkoły letniej, zakwatero</w:t>
      </w:r>
      <w:r>
        <w:rPr>
          <w:rFonts w:ascii="Times New Roman" w:hAnsi="Times New Roman" w:cs="Times New Roman"/>
        </w:rPr>
        <w:t>wanie, catering, oraz podzielą się ogólnymi wrażeniami dotyczącymi samej idei tego typu przedsięwzięcia, co pozwoli w przyszłości na lepszą organizację.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C0" w:rsidRDefault="002907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C0" w:rsidRDefault="002907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C0" w:rsidRDefault="002907C0">
      <w:pPr>
        <w:rPr>
          <w:rFonts w:ascii="Times New Roman" w:hAnsi="Times New Roman" w:cs="Times New Roman"/>
          <w:sz w:val="24"/>
          <w:szCs w:val="24"/>
        </w:rPr>
      </w:pPr>
    </w:p>
    <w:p w:rsidR="002907C0" w:rsidRDefault="002907C0">
      <w:pPr>
        <w:spacing w:after="0" w:line="240" w:lineRule="auto"/>
      </w:pPr>
    </w:p>
    <w:sectPr w:rsidR="002907C0">
      <w:headerReference w:type="default" r:id="rId9"/>
      <w:footerReference w:type="default" r:id="rId10"/>
      <w:pgSz w:w="11906" w:h="16838"/>
      <w:pgMar w:top="1417" w:right="1417" w:bottom="1417" w:left="1417" w:header="426" w:footer="3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8" w:rsidRDefault="002C3078">
      <w:pPr>
        <w:spacing w:after="0" w:line="240" w:lineRule="auto"/>
      </w:pPr>
      <w:r>
        <w:separator/>
      </w:r>
    </w:p>
  </w:endnote>
  <w:endnote w:type="continuationSeparator" w:id="0">
    <w:p w:rsidR="002C3078" w:rsidRDefault="002C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C0" w:rsidRDefault="002C3078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C0" w:rsidRDefault="002C3078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0" b="0"/>
          <wp:docPr id="9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8" w:rsidRDefault="002C3078">
      <w:r>
        <w:separator/>
      </w:r>
    </w:p>
  </w:footnote>
  <w:footnote w:type="continuationSeparator" w:id="0">
    <w:p w:rsidR="002C3078" w:rsidRDefault="002C3078">
      <w:r>
        <w:continuationSeparator/>
      </w:r>
    </w:p>
  </w:footnote>
  <w:footnote w:id="1">
    <w:p w:rsidR="002907C0" w:rsidRDefault="002C3078">
      <w:pPr>
        <w:pStyle w:val="Tekstprzypisudolnego"/>
      </w:pPr>
      <w:r>
        <w:rPr>
          <w:rStyle w:val="Znakiprzypiswdolnych"/>
        </w:rPr>
        <w:footnoteRef/>
      </w:r>
      <w:r>
        <w:t xml:space="preserve"> Tabelę można przedstawić w poziomie na osobnym arkuszu.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C0" w:rsidRDefault="002C3078">
    <w:pPr>
      <w:pStyle w:val="Nagwek"/>
    </w:pPr>
    <w:r>
      <w:rPr>
        <w:noProof/>
        <w:lang w:eastAsia="pl-PL"/>
      </w:rPr>
      <w:drawing>
        <wp:inline distT="0" distB="0" distL="0" distR="0">
          <wp:extent cx="1457325" cy="59436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33575" cy="567055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C0" w:rsidRDefault="002C3078">
    <w:pPr>
      <w:pStyle w:val="Nagwek"/>
    </w:pPr>
    <w:r>
      <w:rPr>
        <w:noProof/>
        <w:lang w:eastAsia="pl-PL"/>
      </w:rPr>
      <w:drawing>
        <wp:inline distT="0" distB="0" distL="0" distR="0">
          <wp:extent cx="1457325" cy="594360"/>
          <wp:effectExtent l="0" t="0" r="0" b="0"/>
          <wp:docPr id="7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33575" cy="567055"/>
          <wp:effectExtent l="0" t="0" r="0" b="0"/>
          <wp:docPr id="8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A3"/>
    <w:multiLevelType w:val="multilevel"/>
    <w:tmpl w:val="A2369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84F5D"/>
    <w:multiLevelType w:val="multilevel"/>
    <w:tmpl w:val="EE561BB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2E94"/>
    <w:multiLevelType w:val="multilevel"/>
    <w:tmpl w:val="2636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3D4376"/>
    <w:multiLevelType w:val="multilevel"/>
    <w:tmpl w:val="6BF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7B6480E"/>
    <w:multiLevelType w:val="multilevel"/>
    <w:tmpl w:val="F28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8110625"/>
    <w:multiLevelType w:val="multilevel"/>
    <w:tmpl w:val="B38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AA31E8A"/>
    <w:multiLevelType w:val="multilevel"/>
    <w:tmpl w:val="B37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19B7BEF"/>
    <w:multiLevelType w:val="multilevel"/>
    <w:tmpl w:val="9F8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6CE786E"/>
    <w:multiLevelType w:val="multilevel"/>
    <w:tmpl w:val="C6BCA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603E98"/>
    <w:multiLevelType w:val="multilevel"/>
    <w:tmpl w:val="21AC2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7D6E2F"/>
    <w:multiLevelType w:val="multilevel"/>
    <w:tmpl w:val="AA9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56818C3"/>
    <w:multiLevelType w:val="multilevel"/>
    <w:tmpl w:val="693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A3E101D"/>
    <w:multiLevelType w:val="multilevel"/>
    <w:tmpl w:val="CF64B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C2AC7"/>
    <w:multiLevelType w:val="multilevel"/>
    <w:tmpl w:val="9F7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0A114FA"/>
    <w:multiLevelType w:val="multilevel"/>
    <w:tmpl w:val="FC4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33A4735"/>
    <w:multiLevelType w:val="multilevel"/>
    <w:tmpl w:val="F24CF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C34ACB"/>
    <w:multiLevelType w:val="multilevel"/>
    <w:tmpl w:val="3D8ECB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6219D"/>
    <w:multiLevelType w:val="multilevel"/>
    <w:tmpl w:val="8646A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0D4DF4"/>
    <w:multiLevelType w:val="multilevel"/>
    <w:tmpl w:val="8B5CC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CD5519A"/>
    <w:multiLevelType w:val="multilevel"/>
    <w:tmpl w:val="A586A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F35171"/>
    <w:multiLevelType w:val="multilevel"/>
    <w:tmpl w:val="57CC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78D4E18"/>
    <w:multiLevelType w:val="multilevel"/>
    <w:tmpl w:val="83388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E03819"/>
    <w:multiLevelType w:val="multilevel"/>
    <w:tmpl w:val="BF4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C5E1FB5"/>
    <w:multiLevelType w:val="multilevel"/>
    <w:tmpl w:val="2144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157708D"/>
    <w:multiLevelType w:val="multilevel"/>
    <w:tmpl w:val="22C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3C50D60"/>
    <w:multiLevelType w:val="multilevel"/>
    <w:tmpl w:val="906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7FBC1115"/>
    <w:multiLevelType w:val="multilevel"/>
    <w:tmpl w:val="17DE0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23"/>
  </w:num>
  <w:num w:numId="5">
    <w:abstractNumId w:val="24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22"/>
  </w:num>
  <w:num w:numId="17">
    <w:abstractNumId w:val="17"/>
  </w:num>
  <w:num w:numId="18">
    <w:abstractNumId w:val="2"/>
  </w:num>
  <w:num w:numId="19">
    <w:abstractNumId w:val="21"/>
  </w:num>
  <w:num w:numId="20">
    <w:abstractNumId w:val="19"/>
  </w:num>
  <w:num w:numId="21">
    <w:abstractNumId w:val="0"/>
  </w:num>
  <w:num w:numId="22">
    <w:abstractNumId w:val="26"/>
  </w:num>
  <w:num w:numId="23">
    <w:abstractNumId w:val="12"/>
  </w:num>
  <w:num w:numId="24">
    <w:abstractNumId w:val="9"/>
  </w:num>
  <w:num w:numId="25">
    <w:abstractNumId w:val="8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0"/>
    <w:rsid w:val="002907C0"/>
    <w:rsid w:val="002C3078"/>
    <w:rsid w:val="00BC48B1"/>
    <w:rsid w:val="00CE2630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1B0E"/>
  <w15:docId w15:val="{5B1AEDAC-D8B5-4456-94E7-D961FC1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0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4A2B"/>
  </w:style>
  <w:style w:type="character" w:customStyle="1" w:styleId="StopkaZnak">
    <w:name w:val="Stopka Znak"/>
    <w:basedOn w:val="Domylnaczcionkaakapitu"/>
    <w:link w:val="Stopka"/>
    <w:uiPriority w:val="99"/>
    <w:qFormat/>
    <w:rsid w:val="00BF4A2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2A71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44A0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652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field-content">
    <w:name w:val="field-content"/>
    <w:qFormat/>
    <w:rsid w:val="00C26F38"/>
  </w:style>
  <w:style w:type="character" w:customStyle="1" w:styleId="Wyrnienie">
    <w:name w:val="Wyróżnienie"/>
    <w:basedOn w:val="Domylnaczcionkaakapitu"/>
    <w:uiPriority w:val="20"/>
    <w:qFormat/>
    <w:rsid w:val="002A7CC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0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01D9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01D9"/>
    <w:rPr>
      <w:b/>
      <w:bCs/>
      <w:szCs w:val="20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4"/>
      <w:szCs w:val="24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4"/>
      <w:szCs w:val="24"/>
    </w:rPr>
  </w:style>
  <w:style w:type="character" w:customStyle="1" w:styleId="ListLabel91">
    <w:name w:val="ListLabel 91"/>
    <w:qFormat/>
    <w:rPr>
      <w:rFonts w:ascii="Times New Roman" w:hAnsi="Times New Roman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ascii="Times New Roman" w:hAnsi="Times New Roman"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ascii="Times New Roman" w:hAnsi="Times New Roman"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Times New Roman" w:hAnsi="Times New Roman"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rFonts w:ascii="Times New Roman" w:hAnsi="Times New Roman"/>
      <w:sz w:val="24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rFonts w:ascii="Times New Roman" w:hAnsi="Times New Roman"/>
      <w:sz w:val="24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rFonts w:ascii="Times New Roman" w:hAnsi="Times New Roman"/>
      <w:sz w:val="24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rFonts w:ascii="Times New Roman" w:hAnsi="Times New Roman"/>
      <w:sz w:val="24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rFonts w:ascii="Times New Roman" w:hAnsi="Times New Roman"/>
      <w:sz w:val="24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rFonts w:ascii="Times New Roman" w:hAnsi="Times New Roman"/>
      <w:sz w:val="24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rFonts w:ascii="Times New Roman" w:hAnsi="Times New Roman"/>
      <w:sz w:val="24"/>
      <w:szCs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ascii="Times New Roman" w:hAnsi="Times New Roman"/>
      <w:sz w:val="24"/>
      <w:szCs w:val="20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ascii="Times New Roman" w:hAnsi="Times New Roman"/>
      <w:sz w:val="24"/>
      <w:szCs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Times New Roman" w:hAnsi="Times New Roman"/>
      <w:sz w:val="24"/>
      <w:szCs w:val="20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ascii="Times New Roman" w:hAnsi="Times New Roman"/>
      <w:sz w:val="24"/>
      <w:szCs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ascii="Times New Roman" w:hAnsi="Times New Roman"/>
      <w:sz w:val="24"/>
      <w:szCs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ascii="Times New Roman" w:hAnsi="Times New Roman"/>
      <w:sz w:val="24"/>
      <w:szCs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ascii="Times New Roman" w:hAnsi="Times New Roman"/>
      <w:sz w:val="24"/>
      <w:szCs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ascii="Times New Roman" w:hAnsi="Times New Roman"/>
      <w:sz w:val="24"/>
      <w:szCs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ascii="Times New Roman" w:hAnsi="Times New Roman"/>
      <w:sz w:val="24"/>
      <w:szCs w:val="20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ascii="Times New Roman" w:hAnsi="Times New Roman" w:cs="Times New Roman"/>
      <w:sz w:val="24"/>
      <w:szCs w:val="24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4"/>
      <w:szCs w:val="24"/>
    </w:rPr>
  </w:style>
  <w:style w:type="character" w:customStyle="1" w:styleId="ListLabel258">
    <w:name w:val="ListLabel 258"/>
    <w:qFormat/>
    <w:rPr>
      <w:rFonts w:ascii="Times New Roman" w:hAnsi="Times New Roman"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ascii="Times New Roman" w:hAnsi="Times New Roman"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ascii="Times New Roman" w:hAnsi="Times New Roman"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ascii="Times New Roman" w:hAnsi="Times New Roman"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Pr>
      <w:rFonts w:cs="Courier New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ascii="Times New Roman" w:hAnsi="Times New Roman" w:cs="Symbol"/>
      <w:sz w:val="24"/>
    </w:rPr>
  </w:style>
  <w:style w:type="character" w:customStyle="1" w:styleId="ListLabel312">
    <w:name w:val="ListLabel 312"/>
    <w:qFormat/>
    <w:rPr>
      <w:rFonts w:cs="Courier New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ascii="Times New Roman" w:hAnsi="Times New Roman" w:cs="Symbol"/>
      <w:sz w:val="24"/>
    </w:rPr>
  </w:style>
  <w:style w:type="character" w:customStyle="1" w:styleId="ListLabel321">
    <w:name w:val="ListLabel 321"/>
    <w:qFormat/>
    <w:rPr>
      <w:rFonts w:cs="Courier New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ascii="Times New Roman" w:hAnsi="Times New Roman" w:cs="Symbol"/>
      <w:sz w:val="24"/>
    </w:rPr>
  </w:style>
  <w:style w:type="character" w:customStyle="1" w:styleId="ListLabel330">
    <w:name w:val="ListLabel 330"/>
    <w:qFormat/>
    <w:rPr>
      <w:rFonts w:cs="Courier New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ascii="Times New Roman" w:hAnsi="Times New Roman" w:cs="Symbol"/>
      <w:sz w:val="24"/>
    </w:rPr>
  </w:style>
  <w:style w:type="character" w:customStyle="1" w:styleId="ListLabel339">
    <w:name w:val="ListLabel 339"/>
    <w:qFormat/>
    <w:rPr>
      <w:rFonts w:cs="Courier New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ascii="Times New Roman" w:hAnsi="Times New Roman" w:cs="Symbol"/>
      <w:sz w:val="24"/>
    </w:rPr>
  </w:style>
  <w:style w:type="character" w:customStyle="1" w:styleId="ListLabel348">
    <w:name w:val="ListLabel 348"/>
    <w:qFormat/>
    <w:rPr>
      <w:rFonts w:cs="Courier New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ascii="Times New Roman" w:hAnsi="Times New Roman" w:cs="Symbol"/>
      <w:sz w:val="24"/>
    </w:rPr>
  </w:style>
  <w:style w:type="character" w:customStyle="1" w:styleId="ListLabel357">
    <w:name w:val="ListLabel 357"/>
    <w:qFormat/>
    <w:rPr>
      <w:rFonts w:cs="Courier New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ascii="Times New Roman" w:hAnsi="Times New Roman" w:cs="Symbol"/>
      <w:sz w:val="24"/>
    </w:rPr>
  </w:style>
  <w:style w:type="character" w:customStyle="1" w:styleId="ListLabel366">
    <w:name w:val="ListLabel 366"/>
    <w:qFormat/>
    <w:rPr>
      <w:rFonts w:cs="Courier New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ascii="Times New Roman" w:hAnsi="Times New Roman" w:cs="Symbol"/>
      <w:sz w:val="24"/>
    </w:rPr>
  </w:style>
  <w:style w:type="character" w:customStyle="1" w:styleId="ListLabel375">
    <w:name w:val="ListLabel 375"/>
    <w:qFormat/>
    <w:rPr>
      <w:rFonts w:cs="Courier New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ascii="Times New Roman" w:hAnsi="Times New Roman" w:cs="Symbol"/>
      <w:sz w:val="24"/>
      <w:szCs w:val="20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Symbol"/>
      <w:sz w:val="24"/>
      <w:szCs w:val="20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Symbol"/>
      <w:sz w:val="24"/>
      <w:szCs w:val="20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Times New Roman" w:hAnsi="Times New Roman" w:cs="Symbol"/>
      <w:sz w:val="24"/>
      <w:szCs w:val="20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ascii="Times New Roman" w:hAnsi="Times New Roman" w:cs="Symbol"/>
      <w:sz w:val="24"/>
      <w:szCs w:val="20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ascii="Times New Roman" w:hAnsi="Times New Roman" w:cs="Symbol"/>
      <w:sz w:val="24"/>
      <w:szCs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Symbol"/>
      <w:sz w:val="24"/>
      <w:szCs w:val="20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ascii="Times New Roman" w:hAnsi="Times New Roman" w:cs="Symbol"/>
      <w:sz w:val="24"/>
      <w:szCs w:val="20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Times New Roman" w:hAnsi="Times New Roman" w:cs="Symbol"/>
      <w:sz w:val="24"/>
      <w:szCs w:val="20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Times New Roman" w:hAnsi="Times New Roman" w:cs="Symbol"/>
      <w:sz w:val="24"/>
      <w:szCs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Times New Roman" w:hAnsi="Times New Roman" w:cs="Times New Roman"/>
      <w:sz w:val="24"/>
      <w:szCs w:val="24"/>
    </w:rPr>
  </w:style>
  <w:style w:type="character" w:customStyle="1" w:styleId="ListLabel474">
    <w:name w:val="ListLabel 474"/>
    <w:qFormat/>
    <w:rPr>
      <w:rFonts w:ascii="Times New Roman" w:hAnsi="Times New Roman" w:cs="Times New Roman"/>
      <w:sz w:val="24"/>
      <w:szCs w:val="24"/>
    </w:rPr>
  </w:style>
  <w:style w:type="character" w:customStyle="1" w:styleId="ListLabel475">
    <w:name w:val="ListLabel 475"/>
    <w:qFormat/>
    <w:rPr>
      <w:rFonts w:ascii="Times New Roman" w:hAnsi="Times New Roman"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ascii="Times New Roman" w:hAnsi="Times New Roman"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ascii="Times New Roman" w:hAnsi="Times New Roman"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ascii="Times New Roman" w:hAnsi="Times New Roman"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ascii="Times New Roman" w:hAnsi="Times New Roman" w:cs="Symbol"/>
      <w:sz w:val="24"/>
    </w:rPr>
  </w:style>
  <w:style w:type="character" w:customStyle="1" w:styleId="ListLabel520">
    <w:name w:val="ListLabel 520"/>
    <w:qFormat/>
    <w:rPr>
      <w:rFonts w:cs="Courier New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cs="Wingdings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Wingdings"/>
      <w:sz w:val="20"/>
    </w:rPr>
  </w:style>
  <w:style w:type="character" w:customStyle="1" w:styleId="ListLabel534">
    <w:name w:val="ListLabel 534"/>
    <w:qFormat/>
    <w:rPr>
      <w:rFonts w:cs="Wingdings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ascii="Times New Roman" w:hAnsi="Times New Roman" w:cs="Symbol"/>
      <w:sz w:val="24"/>
    </w:rPr>
  </w:style>
  <w:style w:type="character" w:customStyle="1" w:styleId="ListLabel538">
    <w:name w:val="ListLabel 538"/>
    <w:qFormat/>
    <w:rPr>
      <w:rFonts w:cs="Courier New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cs="Wingdings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ascii="Times New Roman" w:hAnsi="Times New Roman" w:cs="Symbol"/>
      <w:sz w:val="24"/>
    </w:rPr>
  </w:style>
  <w:style w:type="character" w:customStyle="1" w:styleId="ListLabel547">
    <w:name w:val="ListLabel 547"/>
    <w:qFormat/>
    <w:rPr>
      <w:rFonts w:cs="Courier New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cs="Wingdings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ascii="Times New Roman" w:hAnsi="Times New Roman" w:cs="Symbol"/>
      <w:sz w:val="24"/>
    </w:rPr>
  </w:style>
  <w:style w:type="character" w:customStyle="1" w:styleId="ListLabel556">
    <w:name w:val="ListLabel 556"/>
    <w:qFormat/>
    <w:rPr>
      <w:rFonts w:cs="Courier New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cs="Wingdings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ascii="Times New Roman" w:hAnsi="Times New Roman" w:cs="Symbol"/>
      <w:sz w:val="24"/>
    </w:rPr>
  </w:style>
  <w:style w:type="character" w:customStyle="1" w:styleId="ListLabel565">
    <w:name w:val="ListLabel 565"/>
    <w:qFormat/>
    <w:rPr>
      <w:rFonts w:cs="Courier New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Wingdings"/>
      <w:sz w:val="20"/>
    </w:rPr>
  </w:style>
  <w:style w:type="character" w:customStyle="1" w:styleId="ListLabel570">
    <w:name w:val="ListLabel 570"/>
    <w:qFormat/>
    <w:rPr>
      <w:rFonts w:cs="Wingdings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ascii="Times New Roman" w:hAnsi="Times New Roman" w:cs="Symbol"/>
      <w:sz w:val="24"/>
    </w:rPr>
  </w:style>
  <w:style w:type="character" w:customStyle="1" w:styleId="ListLabel574">
    <w:name w:val="ListLabel 574"/>
    <w:qFormat/>
    <w:rPr>
      <w:rFonts w:cs="Courier New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Wingdings"/>
      <w:sz w:val="20"/>
    </w:rPr>
  </w:style>
  <w:style w:type="character" w:customStyle="1" w:styleId="ListLabel579">
    <w:name w:val="ListLabel 579"/>
    <w:qFormat/>
    <w:rPr>
      <w:rFonts w:cs="Wingdings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ascii="Times New Roman" w:hAnsi="Times New Roman" w:cs="Symbol"/>
      <w:sz w:val="24"/>
    </w:rPr>
  </w:style>
  <w:style w:type="character" w:customStyle="1" w:styleId="ListLabel583">
    <w:name w:val="ListLabel 583"/>
    <w:qFormat/>
    <w:rPr>
      <w:rFonts w:cs="Courier New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ascii="Times New Roman" w:hAnsi="Times New Roman" w:cs="Symbol"/>
      <w:sz w:val="24"/>
    </w:rPr>
  </w:style>
  <w:style w:type="character" w:customStyle="1" w:styleId="ListLabel592">
    <w:name w:val="ListLabel 592"/>
    <w:qFormat/>
    <w:rPr>
      <w:rFonts w:cs="Courier New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cs="Wingdings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ascii="Times New Roman" w:hAnsi="Times New Roman" w:cs="Symbol"/>
      <w:sz w:val="24"/>
      <w:szCs w:val="20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Times New Roman" w:hAnsi="Times New Roman" w:cs="Symbol"/>
      <w:sz w:val="24"/>
      <w:szCs w:val="20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Times New Roman" w:hAnsi="Times New Roman" w:cs="Symbol"/>
      <w:sz w:val="24"/>
      <w:szCs w:val="20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Times New Roman" w:hAnsi="Times New Roman" w:cs="Symbol"/>
      <w:sz w:val="24"/>
      <w:szCs w:val="20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Times New Roman" w:hAnsi="Times New Roman" w:cs="Symbol"/>
      <w:sz w:val="24"/>
      <w:szCs w:val="20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Times New Roman" w:hAnsi="Times New Roman" w:cs="Symbol"/>
      <w:sz w:val="24"/>
      <w:szCs w:val="20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ascii="Times New Roman" w:hAnsi="Times New Roman" w:cs="Symbol"/>
      <w:sz w:val="24"/>
      <w:szCs w:val="20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Times New Roman" w:hAnsi="Times New Roman" w:cs="Symbol"/>
      <w:sz w:val="24"/>
      <w:szCs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Times New Roman" w:hAnsi="Times New Roman" w:cs="Symbol"/>
      <w:sz w:val="24"/>
      <w:szCs w:val="20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ascii="Times New Roman" w:hAnsi="Times New Roman" w:cs="Symbol"/>
      <w:sz w:val="24"/>
      <w:szCs w:val="20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ascii="Times New Roman" w:hAnsi="Times New Roman" w:cs="Times New Roman"/>
      <w:sz w:val="24"/>
      <w:szCs w:val="24"/>
    </w:rPr>
  </w:style>
  <w:style w:type="character" w:customStyle="1" w:styleId="ListLabel691">
    <w:name w:val="ListLabel 691"/>
    <w:qFormat/>
    <w:rPr>
      <w:rFonts w:ascii="Times New Roman" w:hAnsi="Times New Roman" w:cs="Times New Roman"/>
      <w:sz w:val="24"/>
      <w:szCs w:val="24"/>
    </w:rPr>
  </w:style>
  <w:style w:type="character" w:customStyle="1" w:styleId="ListLabel692">
    <w:name w:val="ListLabel 692"/>
    <w:qFormat/>
    <w:rPr>
      <w:rFonts w:ascii="Times New Roman" w:hAnsi="Times New Roman"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ascii="Times New Roman" w:hAnsi="Times New Roman"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ascii="Times New Roman" w:hAnsi="Times New Roman"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ascii="Times New Roman" w:hAnsi="Times New Roman"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ascii="Times New Roman" w:hAnsi="Times New Roman" w:cs="Symbol"/>
      <w:sz w:val="24"/>
    </w:rPr>
  </w:style>
  <w:style w:type="character" w:customStyle="1" w:styleId="ListLabel737">
    <w:name w:val="ListLabel 737"/>
    <w:qFormat/>
    <w:rPr>
      <w:rFonts w:cs="Courier New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Wingdings"/>
      <w:sz w:val="20"/>
    </w:rPr>
  </w:style>
  <w:style w:type="character" w:customStyle="1" w:styleId="ListLabel741">
    <w:name w:val="ListLabel 741"/>
    <w:qFormat/>
    <w:rPr>
      <w:rFonts w:cs="Wingdings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Wingdings"/>
      <w:sz w:val="20"/>
    </w:rPr>
  </w:style>
  <w:style w:type="character" w:customStyle="1" w:styleId="ListLabel744">
    <w:name w:val="ListLabel 744"/>
    <w:qFormat/>
    <w:rPr>
      <w:rFonts w:cs="Wingdings"/>
      <w:sz w:val="20"/>
    </w:rPr>
  </w:style>
  <w:style w:type="character" w:customStyle="1" w:styleId="ListLabel745">
    <w:name w:val="ListLabel 745"/>
    <w:qFormat/>
    <w:rPr>
      <w:rFonts w:ascii="Times New Roman" w:hAnsi="Times New Roman" w:cs="Symbol"/>
      <w:sz w:val="24"/>
    </w:rPr>
  </w:style>
  <w:style w:type="character" w:customStyle="1" w:styleId="ListLabel746">
    <w:name w:val="ListLabel 746"/>
    <w:qFormat/>
    <w:rPr>
      <w:rFonts w:cs="Courier New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Wingdings"/>
      <w:sz w:val="20"/>
    </w:rPr>
  </w:style>
  <w:style w:type="character" w:customStyle="1" w:styleId="ListLabel749">
    <w:name w:val="ListLabel 749"/>
    <w:qFormat/>
    <w:rPr>
      <w:rFonts w:cs="Wingdings"/>
      <w:sz w:val="20"/>
    </w:rPr>
  </w:style>
  <w:style w:type="character" w:customStyle="1" w:styleId="ListLabel750">
    <w:name w:val="ListLabel 750"/>
    <w:qFormat/>
    <w:rPr>
      <w:rFonts w:cs="Wingdings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Wingdings"/>
      <w:sz w:val="20"/>
    </w:rPr>
  </w:style>
  <w:style w:type="character" w:customStyle="1" w:styleId="ListLabel753">
    <w:name w:val="ListLabel 753"/>
    <w:qFormat/>
    <w:rPr>
      <w:rFonts w:cs="Wingdings"/>
      <w:sz w:val="20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Wingdings"/>
      <w:sz w:val="20"/>
    </w:rPr>
  </w:style>
  <w:style w:type="character" w:customStyle="1" w:styleId="ListLabel759">
    <w:name w:val="ListLabel 759"/>
    <w:qFormat/>
    <w:rPr>
      <w:rFonts w:cs="Wingdings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sz w:val="20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cs="Wingdings"/>
      <w:sz w:val="20"/>
    </w:rPr>
  </w:style>
  <w:style w:type="character" w:customStyle="1" w:styleId="ListLabel767">
    <w:name w:val="ListLabel 767"/>
    <w:qFormat/>
    <w:rPr>
      <w:rFonts w:cs="Wingdings"/>
      <w:sz w:val="20"/>
    </w:rPr>
  </w:style>
  <w:style w:type="character" w:customStyle="1" w:styleId="ListLabel768">
    <w:name w:val="ListLabel 768"/>
    <w:qFormat/>
    <w:rPr>
      <w:rFonts w:cs="Wingdings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Wingdings"/>
      <w:sz w:val="20"/>
    </w:rPr>
  </w:style>
  <w:style w:type="character" w:customStyle="1" w:styleId="ListLabel771">
    <w:name w:val="ListLabel 771"/>
    <w:qFormat/>
    <w:rPr>
      <w:rFonts w:cs="Wingdings"/>
      <w:sz w:val="20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Wingdings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ascii="Times New Roman" w:hAnsi="Times New Roman" w:cs="Symbol"/>
      <w:sz w:val="24"/>
    </w:rPr>
  </w:style>
  <w:style w:type="character" w:customStyle="1" w:styleId="ListLabel782">
    <w:name w:val="ListLabel 782"/>
    <w:qFormat/>
    <w:rPr>
      <w:rFonts w:cs="Courier New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Wingdings"/>
      <w:sz w:val="20"/>
    </w:rPr>
  </w:style>
  <w:style w:type="character" w:customStyle="1" w:styleId="ListLabel786">
    <w:name w:val="ListLabel 786"/>
    <w:qFormat/>
    <w:rPr>
      <w:rFonts w:cs="Wingdings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ascii="Times New Roman" w:hAnsi="Times New Roman" w:cs="Symbol"/>
      <w:sz w:val="24"/>
    </w:rPr>
  </w:style>
  <w:style w:type="character" w:customStyle="1" w:styleId="ListLabel791">
    <w:name w:val="ListLabel 791"/>
    <w:qFormat/>
    <w:rPr>
      <w:rFonts w:cs="Courier New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Wingdings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ascii="Times New Roman" w:hAnsi="Times New Roman" w:cs="Symbol"/>
      <w:sz w:val="24"/>
    </w:rPr>
  </w:style>
  <w:style w:type="character" w:customStyle="1" w:styleId="ListLabel800">
    <w:name w:val="ListLabel 800"/>
    <w:qFormat/>
    <w:rPr>
      <w:rFonts w:cs="Courier New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Wingdings"/>
      <w:sz w:val="20"/>
    </w:rPr>
  </w:style>
  <w:style w:type="character" w:customStyle="1" w:styleId="ListLabel804">
    <w:name w:val="ListLabel 804"/>
    <w:qFormat/>
    <w:rPr>
      <w:rFonts w:cs="Wingdings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ascii="Times New Roman" w:hAnsi="Times New Roman" w:cs="Symbol"/>
      <w:sz w:val="24"/>
    </w:rPr>
  </w:style>
  <w:style w:type="character" w:customStyle="1" w:styleId="ListLabel809">
    <w:name w:val="ListLabel 809"/>
    <w:qFormat/>
    <w:rPr>
      <w:rFonts w:cs="Courier New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Wingdings"/>
      <w:sz w:val="20"/>
    </w:rPr>
  </w:style>
  <w:style w:type="character" w:customStyle="1" w:styleId="ListLabel813">
    <w:name w:val="ListLabel 813"/>
    <w:qFormat/>
    <w:rPr>
      <w:rFonts w:cs="Wingdings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ascii="Times New Roman" w:hAnsi="Times New Roman" w:cs="Symbol"/>
      <w:sz w:val="24"/>
      <w:szCs w:val="20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sz w:val="24"/>
      <w:szCs w:val="20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sz w:val="24"/>
      <w:szCs w:val="20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sz w:val="24"/>
      <w:szCs w:val="20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sz w:val="24"/>
      <w:szCs w:val="20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sz w:val="24"/>
      <w:szCs w:val="20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  <w:szCs w:val="20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sz w:val="24"/>
      <w:szCs w:val="20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sz w:val="24"/>
      <w:szCs w:val="20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sz w:val="24"/>
      <w:szCs w:val="20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2A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A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0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1A416E"/>
    <w:pPr>
      <w:spacing w:beforeAutospacing="1" w:after="142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A7CC9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01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01D9"/>
    <w:rPr>
      <w:b/>
      <w:bCs/>
    </w:rPr>
  </w:style>
  <w:style w:type="table" w:styleId="Tabela-Siatka">
    <w:name w:val="Table Grid"/>
    <w:basedOn w:val="Standardowy"/>
    <w:uiPriority w:val="39"/>
    <w:rsid w:val="0024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3517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</cp:lastModifiedBy>
  <cp:revision>40</cp:revision>
  <cp:lastPrinted>2019-06-09T16:54:00Z</cp:lastPrinted>
  <dcterms:created xsi:type="dcterms:W3CDTF">2018-06-05T03:54:00Z</dcterms:created>
  <dcterms:modified xsi:type="dcterms:W3CDTF">2019-06-27T12:45:00Z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