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E1" w:rsidRPr="008F6436" w:rsidRDefault="00EB7CE1">
      <w:pPr>
        <w:rPr>
          <w:sz w:val="18"/>
          <w:szCs w:val="18"/>
        </w:rPr>
      </w:pPr>
    </w:p>
    <w:p w:rsidR="008F6436" w:rsidRPr="008F6436" w:rsidRDefault="008F6436">
      <w:pPr>
        <w:rPr>
          <w:sz w:val="18"/>
          <w:szCs w:val="18"/>
        </w:rPr>
      </w:pPr>
    </w:p>
    <w:p w:rsidR="008F6436" w:rsidRPr="008F6436" w:rsidRDefault="008F6436" w:rsidP="008F6436">
      <w:pPr>
        <w:jc w:val="right"/>
        <w:rPr>
          <w:rFonts w:ascii="Times New Roman" w:hAnsi="Times New Roman" w:cs="Times New Roman"/>
          <w:b/>
          <w:color w:val="000000" w:themeColor="text1"/>
          <w:sz w:val="18"/>
          <w:szCs w:val="18"/>
        </w:rPr>
      </w:pPr>
      <w:r w:rsidRPr="008F6436">
        <w:rPr>
          <w:rFonts w:ascii="Times New Roman" w:hAnsi="Times New Roman" w:cs="Times New Roman"/>
          <w:b/>
          <w:color w:val="000000" w:themeColor="text1"/>
          <w:sz w:val="18"/>
          <w:szCs w:val="18"/>
        </w:rPr>
        <w:t>ZAŁĄCZNIK 1</w:t>
      </w:r>
    </w:p>
    <w:p w:rsidR="008F6436" w:rsidRPr="008F6436" w:rsidRDefault="008F6436" w:rsidP="008F6436">
      <w:pPr>
        <w:jc w:val="both"/>
        <w:rPr>
          <w:rFonts w:ascii="Times New Roman" w:hAnsi="Times New Roman" w:cs="Times New Roman"/>
          <w:color w:val="000000" w:themeColor="text1"/>
          <w:sz w:val="18"/>
          <w:szCs w:val="18"/>
        </w:rPr>
      </w:pPr>
    </w:p>
    <w:tbl>
      <w:tblPr>
        <w:tblStyle w:val="Tabela-Siatka"/>
        <w:tblW w:w="5000" w:type="pct"/>
        <w:tblInd w:w="0" w:type="dxa"/>
        <w:tblLook w:val="04A0" w:firstRow="1" w:lastRow="0" w:firstColumn="1" w:lastColumn="0" w:noHBand="0" w:noVBand="1"/>
      </w:tblPr>
      <w:tblGrid>
        <w:gridCol w:w="467"/>
        <w:gridCol w:w="1509"/>
        <w:gridCol w:w="1162"/>
        <w:gridCol w:w="1732"/>
        <w:gridCol w:w="4192"/>
      </w:tblGrid>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jc w:val="both"/>
              <w:rPr>
                <w:rFonts w:ascii="Times New Roman" w:hAnsi="Times New Roman" w:cs="Times New Roman"/>
                <w:b/>
                <w:color w:val="000000" w:themeColor="text1"/>
                <w:sz w:val="18"/>
                <w:szCs w:val="18"/>
              </w:rPr>
            </w:pPr>
            <w:r w:rsidRPr="008F6436">
              <w:rPr>
                <w:rFonts w:ascii="Times New Roman" w:hAnsi="Times New Roman" w:cs="Times New Roman"/>
                <w:b/>
                <w:color w:val="000000" w:themeColor="text1"/>
                <w:sz w:val="18"/>
                <w:szCs w:val="18"/>
              </w:rPr>
              <w:t>L.p.</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jc w:val="both"/>
              <w:rPr>
                <w:rFonts w:ascii="Times New Roman" w:hAnsi="Times New Roman" w:cs="Times New Roman"/>
                <w:b/>
                <w:color w:val="000000" w:themeColor="text1"/>
                <w:sz w:val="18"/>
                <w:szCs w:val="18"/>
              </w:rPr>
            </w:pPr>
            <w:r w:rsidRPr="008F6436">
              <w:rPr>
                <w:rFonts w:ascii="Times New Roman" w:hAnsi="Times New Roman" w:cs="Times New Roman"/>
                <w:b/>
                <w:color w:val="000000" w:themeColor="text1"/>
                <w:sz w:val="18"/>
                <w:szCs w:val="18"/>
              </w:rPr>
              <w:t>Przedmiot</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jc w:val="both"/>
              <w:rPr>
                <w:rFonts w:ascii="Times New Roman" w:hAnsi="Times New Roman" w:cs="Times New Roman"/>
                <w:b/>
                <w:color w:val="000000" w:themeColor="text1"/>
                <w:sz w:val="18"/>
                <w:szCs w:val="18"/>
              </w:rPr>
            </w:pPr>
            <w:r w:rsidRPr="008F6436">
              <w:rPr>
                <w:rFonts w:ascii="Times New Roman" w:hAnsi="Times New Roman" w:cs="Times New Roman"/>
                <w:b/>
                <w:color w:val="000000" w:themeColor="text1"/>
                <w:sz w:val="18"/>
                <w:szCs w:val="18"/>
              </w:rPr>
              <w:t>Forma zajęć (np. Wykład, ćwiczenia, warsztaty terenowe)</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jc w:val="both"/>
              <w:rPr>
                <w:rFonts w:ascii="Times New Roman" w:hAnsi="Times New Roman" w:cs="Times New Roman"/>
                <w:b/>
                <w:color w:val="000000" w:themeColor="text1"/>
                <w:sz w:val="18"/>
                <w:szCs w:val="18"/>
              </w:rPr>
            </w:pPr>
            <w:r w:rsidRPr="008F6436">
              <w:rPr>
                <w:rFonts w:ascii="Times New Roman" w:hAnsi="Times New Roman" w:cs="Times New Roman"/>
                <w:b/>
                <w:color w:val="000000" w:themeColor="text1"/>
                <w:sz w:val="18"/>
                <w:szCs w:val="18"/>
              </w:rPr>
              <w:t>Efekty kształcenia (cele/kompetencje)</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jc w:val="both"/>
              <w:rPr>
                <w:rFonts w:ascii="Times New Roman" w:hAnsi="Times New Roman" w:cs="Times New Roman"/>
                <w:b/>
                <w:color w:val="000000" w:themeColor="text1"/>
                <w:sz w:val="18"/>
                <w:szCs w:val="18"/>
              </w:rPr>
            </w:pPr>
            <w:r w:rsidRPr="008F6436">
              <w:rPr>
                <w:rFonts w:ascii="Times New Roman" w:hAnsi="Times New Roman" w:cs="Times New Roman"/>
                <w:b/>
                <w:color w:val="000000" w:themeColor="text1"/>
                <w:sz w:val="18"/>
                <w:szCs w:val="18"/>
              </w:rPr>
              <w:t>Metody</w:t>
            </w:r>
            <w:r w:rsidRPr="008F6436">
              <w:rPr>
                <w:rFonts w:ascii="Times New Roman" w:hAnsi="Times New Roman" w:cs="Times New Roman"/>
                <w:b/>
                <w:color w:val="000000" w:themeColor="text1"/>
                <w:sz w:val="18"/>
                <w:szCs w:val="18"/>
              </w:rPr>
              <w:t xml:space="preserve"> </w:t>
            </w:r>
            <w:r w:rsidRPr="008F6436">
              <w:rPr>
                <w:rFonts w:ascii="Times New Roman" w:hAnsi="Times New Roman" w:cs="Times New Roman"/>
                <w:b/>
                <w:color w:val="000000" w:themeColor="text1"/>
                <w:sz w:val="18"/>
                <w:szCs w:val="18"/>
              </w:rPr>
              <w:t>dydaktyczne wykorzystywane podczas zajęć</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tcPr>
          <w:p w:rsidR="008F6436" w:rsidRPr="008F6436" w:rsidRDefault="008F6436" w:rsidP="008F6436">
            <w:pPr>
              <w:pStyle w:val="Akapitzlist"/>
              <w:numPr>
                <w:ilvl w:val="0"/>
                <w:numId w:val="1"/>
              </w:numPr>
              <w:spacing w:after="240"/>
              <w:jc w:val="both"/>
              <w:rPr>
                <w:rFonts w:ascii="Times New Roman" w:hAnsi="Times New Roman" w:cs="Times New Roman"/>
                <w:color w:val="000000" w:themeColor="text1"/>
                <w:sz w:val="18"/>
                <w:szCs w:val="18"/>
              </w:rPr>
            </w:pP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Afryka Północna w kontekście historii i archeologii Morza Śródziemnego.</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North Africa set against the history and archae-ology of the Mediterra-nean, from the Phoe-nician colonisation up to Arab conquest: introdu-ctory study.</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(2 godziny) </w:t>
            </w:r>
          </w:p>
        </w:tc>
        <w:tc>
          <w:tcPr>
            <w:tcW w:w="998" w:type="pct"/>
            <w:tcBorders>
              <w:top w:val="single" w:sz="4" w:space="0" w:color="auto"/>
              <w:left w:val="single" w:sz="4" w:space="0" w:color="auto"/>
              <w:bottom w:val="single" w:sz="4" w:space="0" w:color="auto"/>
              <w:right w:val="single" w:sz="4" w:space="0" w:color="auto"/>
            </w:tcBorders>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Zrozumienie wyjątkowość i złożoność cywilizacji rozwijających się na terenach wokół Morza Śródziemnego, od okresu żelaza po osadnictwo</w:t>
            </w:r>
            <w:r w:rsidRPr="008F6436">
              <w:rPr>
                <w:rFonts w:ascii="Times New Roman" w:hAnsi="Times New Roman" w:cs="Times New Roman"/>
                <w:color w:val="000000" w:themeColor="text1"/>
                <w:sz w:val="18"/>
                <w:szCs w:val="18"/>
              </w:rPr>
              <w:t xml:space="preserve"> </w:t>
            </w:r>
            <w:r w:rsidRPr="008F6436">
              <w:rPr>
                <w:rFonts w:ascii="Times New Roman" w:hAnsi="Times New Roman" w:cs="Times New Roman"/>
                <w:color w:val="000000" w:themeColor="text1"/>
                <w:sz w:val="18"/>
                <w:szCs w:val="18"/>
              </w:rPr>
              <w:t>rzymskie aż do najazdu arabskiego; zrozumienie istoty i waloru dziedzictwa ludzkości, jakie przedstawiają materialne ślady przeszłości w Afryce Północnej;  poznanie realiów współczesnego basenu Morza Śródziemnego ze szczególnym uwzględnieniem Afryki Północnej.</w:t>
            </w:r>
          </w:p>
          <w:p w:rsidR="008F6436" w:rsidRPr="008F6436" w:rsidRDefault="008F6436">
            <w:pPr>
              <w:spacing w:after="240"/>
              <w:jc w:val="both"/>
              <w:rPr>
                <w:rFonts w:ascii="Times New Roman" w:hAnsi="Times New Roman" w:cs="Times New Roman"/>
                <w:color w:val="000000" w:themeColor="text1"/>
                <w:sz w:val="18"/>
                <w:szCs w:val="18"/>
              </w:rPr>
            </w:pPr>
          </w:p>
        </w:tc>
        <w:tc>
          <w:tcPr>
            <w:tcW w:w="2201" w:type="pct"/>
            <w:tcBorders>
              <w:top w:val="single" w:sz="4" w:space="0" w:color="auto"/>
              <w:left w:val="single" w:sz="4" w:space="0" w:color="auto"/>
              <w:bottom w:val="single" w:sz="4" w:space="0" w:color="auto"/>
              <w:right w:val="single" w:sz="4" w:space="0" w:color="auto"/>
            </w:tcBorders>
            <w:hideMark/>
          </w:tcPr>
          <w:tbl>
            <w:tblPr>
              <w:tblW w:w="4868" w:type="dxa"/>
              <w:tblLook w:val="04A0" w:firstRow="1" w:lastRow="0" w:firstColumn="1" w:lastColumn="0" w:noHBand="0" w:noVBand="1"/>
            </w:tblPr>
            <w:tblGrid>
              <w:gridCol w:w="4868"/>
            </w:tblGrid>
            <w:tr w:rsidR="008F6436" w:rsidRPr="008F6436" w:rsidTr="008F6436">
              <w:trPr>
                <w:trHeight w:val="2317"/>
              </w:trPr>
              <w:tc>
                <w:tcPr>
                  <w:tcW w:w="4868" w:type="dxa"/>
                  <w:tcBorders>
                    <w:top w:val="nil"/>
                    <w:left w:val="nil"/>
                    <w:bottom w:val="nil"/>
                    <w:right w:val="nil"/>
                  </w:tcBorders>
                  <w:hideMark/>
                </w:tcPr>
                <w:p w:rsidR="008F6436" w:rsidRPr="008F6436" w:rsidRDefault="008F6436" w:rsidP="008F6436">
                  <w:pPr>
                    <w:pStyle w:val="Default"/>
                    <w:spacing w:after="240"/>
                    <w:ind w:left="-74" w:right="1498"/>
                    <w:jc w:val="both"/>
                    <w:rPr>
                      <w:color w:val="000000" w:themeColor="text1"/>
                      <w:sz w:val="18"/>
                      <w:szCs w:val="18"/>
                      <w:lang w:val="cs-CZ"/>
                    </w:rPr>
                  </w:pPr>
                  <w:r w:rsidRPr="008F6436">
                    <w:rPr>
                      <w:color w:val="000000" w:themeColor="text1"/>
                      <w:sz w:val="18"/>
                      <w:szCs w:val="18"/>
                      <w:lang w:val="cs-CZ"/>
                    </w:rPr>
                    <w:t>Wykład (z prezentacją) uzupełniony lekturą wybranych rozdziałów z książek:</w:t>
                  </w:r>
                </w:p>
                <w:p w:rsidR="008F6436" w:rsidRPr="008F6436" w:rsidRDefault="008F6436" w:rsidP="008F6436">
                  <w:pPr>
                    <w:pStyle w:val="Akapitzlist"/>
                    <w:numPr>
                      <w:ilvl w:val="0"/>
                      <w:numId w:val="2"/>
                    </w:numPr>
                    <w:tabs>
                      <w:tab w:val="left" w:pos="0"/>
                      <w:tab w:val="left" w:pos="250"/>
                    </w:tabs>
                    <w:spacing w:after="240"/>
                    <w:ind w:left="-74" w:right="1498" w:firstLine="0"/>
                    <w:jc w:val="both"/>
                    <w:rPr>
                      <w:rFonts w:ascii="Times New Roman" w:eastAsia="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F. Braudel</w:t>
                  </w:r>
                  <w:r w:rsidRPr="008F6436">
                    <w:rPr>
                      <w:rFonts w:ascii="Times New Roman" w:eastAsia="Times New Roman" w:hAnsi="Times New Roman" w:cs="Times New Roman"/>
                      <w:color w:val="000000" w:themeColor="text1"/>
                      <w:sz w:val="18"/>
                      <w:szCs w:val="18"/>
                    </w:rPr>
                    <w:t xml:space="preserve">, </w:t>
                  </w:r>
                  <w:r w:rsidRPr="008F6436">
                    <w:rPr>
                      <w:rFonts w:ascii="Times New Roman" w:eastAsia="Times New Roman" w:hAnsi="Times New Roman" w:cs="Times New Roman"/>
                      <w:i/>
                      <w:iCs/>
                      <w:color w:val="000000" w:themeColor="text1"/>
                      <w:sz w:val="18"/>
                      <w:szCs w:val="18"/>
                    </w:rPr>
                    <w:t>Morze Śródziemne i świat śródziemnomorski w epoce Filipa II</w:t>
                  </w:r>
                  <w:r w:rsidRPr="008F6436">
                    <w:rPr>
                      <w:rFonts w:ascii="Times New Roman" w:eastAsia="Times New Roman" w:hAnsi="Times New Roman" w:cs="Times New Roman"/>
                      <w:color w:val="000000" w:themeColor="text1"/>
                      <w:sz w:val="18"/>
                      <w:szCs w:val="18"/>
                    </w:rPr>
                    <w:t>, t. 1-2, Gdańsk: 1976-1977 (wyd. 2 Warszawa 2004).</w:t>
                  </w:r>
                </w:p>
                <w:p w:rsidR="008F6436" w:rsidRPr="008F6436" w:rsidRDefault="008F6436" w:rsidP="008F6436">
                  <w:pPr>
                    <w:pStyle w:val="Akapitzlist"/>
                    <w:numPr>
                      <w:ilvl w:val="0"/>
                      <w:numId w:val="2"/>
                    </w:numPr>
                    <w:tabs>
                      <w:tab w:val="left" w:pos="0"/>
                      <w:tab w:val="left" w:pos="250"/>
                    </w:tabs>
                    <w:spacing w:after="240"/>
                    <w:ind w:left="-74" w:right="1498" w:firstLine="0"/>
                    <w:jc w:val="both"/>
                    <w:rPr>
                      <w:rFonts w:ascii="Times New Roman" w:eastAsia="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I. Mor</w:t>
                  </w:r>
                  <w:bookmarkStart w:id="0" w:name="_GoBack"/>
                  <w:bookmarkEnd w:id="0"/>
                  <w:r w:rsidRPr="008F6436">
                    <w:rPr>
                      <w:rFonts w:ascii="Times New Roman" w:hAnsi="Times New Roman" w:cs="Times New Roman"/>
                      <w:color w:val="000000" w:themeColor="text1"/>
                      <w:sz w:val="18"/>
                      <w:szCs w:val="18"/>
                    </w:rPr>
                    <w:t>ris</w:t>
                  </w:r>
                  <w:r w:rsidRPr="008F6436">
                    <w:rPr>
                      <w:rFonts w:ascii="Times New Roman" w:eastAsia="Times New Roman" w:hAnsi="Times New Roman" w:cs="Times New Roman"/>
                      <w:smallCaps/>
                      <w:color w:val="000000" w:themeColor="text1"/>
                      <w:sz w:val="18"/>
                      <w:szCs w:val="18"/>
                    </w:rPr>
                    <w:t xml:space="preserve">, </w:t>
                  </w:r>
                  <w:r w:rsidRPr="008F6436">
                    <w:rPr>
                      <w:rFonts w:ascii="Times New Roman" w:eastAsiaTheme="minorHAnsi" w:hAnsi="Times New Roman" w:cs="Times New Roman"/>
                      <w:color w:val="000000" w:themeColor="text1"/>
                      <w:sz w:val="18"/>
                      <w:szCs w:val="18"/>
                      <w:lang w:eastAsia="en-US"/>
                    </w:rPr>
                    <w:t xml:space="preserve"> </w:t>
                  </w:r>
                  <w:r w:rsidRPr="008F6436">
                    <w:rPr>
                      <w:rFonts w:ascii="Times New Roman" w:eastAsiaTheme="minorHAnsi" w:hAnsi="Times New Roman" w:cs="Times New Roman"/>
                      <w:i/>
                      <w:color w:val="000000" w:themeColor="text1"/>
                      <w:sz w:val="18"/>
                      <w:szCs w:val="18"/>
                      <w:lang w:val="en-GB" w:eastAsia="en-US"/>
                    </w:rPr>
                    <w:t>Why the West Rules</w:t>
                  </w:r>
                  <w:r w:rsidRPr="008F6436">
                    <w:rPr>
                      <w:rFonts w:ascii="Times New Roman" w:eastAsiaTheme="minorHAnsi" w:hAnsi="Times New Roman" w:cs="Times New Roman"/>
                      <w:color w:val="000000" w:themeColor="text1"/>
                      <w:sz w:val="18"/>
                      <w:szCs w:val="18"/>
                      <w:lang w:val="en-GB" w:eastAsia="en-US"/>
                    </w:rPr>
                    <w:t>. London 2010</w:t>
                  </w:r>
                </w:p>
                <w:p w:rsidR="008F6436" w:rsidRPr="008F6436" w:rsidRDefault="008F6436" w:rsidP="008F6436">
                  <w:pPr>
                    <w:pStyle w:val="Akapitzlist"/>
                    <w:numPr>
                      <w:ilvl w:val="0"/>
                      <w:numId w:val="2"/>
                    </w:numPr>
                    <w:tabs>
                      <w:tab w:val="left" w:pos="0"/>
                      <w:tab w:val="left" w:pos="250"/>
                    </w:tabs>
                    <w:spacing w:after="240"/>
                    <w:ind w:left="-74" w:right="1498" w:firstLine="0"/>
                    <w:jc w:val="both"/>
                    <w:rPr>
                      <w:rFonts w:ascii="Times New Roman" w:eastAsia="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D. Abulafia</w:t>
                  </w:r>
                  <w:r w:rsidRPr="008F6436">
                    <w:rPr>
                      <w:rFonts w:ascii="Times New Roman" w:eastAsia="Times New Roman" w:hAnsi="Times New Roman" w:cs="Times New Roman"/>
                      <w:color w:val="000000" w:themeColor="text1"/>
                      <w:sz w:val="18"/>
                      <w:szCs w:val="18"/>
                      <w:lang w:val="en-GB"/>
                    </w:rPr>
                    <w:t>, D., </w:t>
                  </w:r>
                  <w:r w:rsidRPr="008F6436">
                    <w:rPr>
                      <w:rStyle w:val="Uwydatnienie"/>
                      <w:rFonts w:ascii="Times New Roman" w:eastAsia="Times New Roman" w:hAnsi="Times New Roman" w:cs="Times New Roman"/>
                      <w:color w:val="000000" w:themeColor="text1"/>
                      <w:sz w:val="18"/>
                      <w:szCs w:val="18"/>
                      <w:lang w:val="en-GB"/>
                    </w:rPr>
                    <w:t xml:space="preserve">The great sea: a human history of the Mediterranean, </w:t>
                  </w:r>
                  <w:r w:rsidRPr="008F6436">
                    <w:rPr>
                      <w:rFonts w:ascii="Times New Roman" w:eastAsia="Times New Roman" w:hAnsi="Times New Roman" w:cs="Times New Roman"/>
                      <w:color w:val="000000" w:themeColor="text1"/>
                      <w:sz w:val="18"/>
                      <w:szCs w:val="18"/>
                      <w:lang w:val="en-GB"/>
                    </w:rPr>
                    <w:t xml:space="preserve"> </w:t>
                  </w:r>
                  <w:r w:rsidRPr="008F6436">
                    <w:rPr>
                      <w:rFonts w:ascii="Times New Roman" w:eastAsia="Times New Roman" w:hAnsi="Times New Roman" w:cs="Times New Roman"/>
                      <w:color w:val="000000" w:themeColor="text1"/>
                      <w:sz w:val="18"/>
                      <w:szCs w:val="18"/>
                    </w:rPr>
                    <w:t>New York 2011</w:t>
                  </w:r>
                </w:p>
                <w:p w:rsidR="008F6436" w:rsidRPr="008F6436" w:rsidRDefault="008F6436" w:rsidP="008F6436">
                  <w:pPr>
                    <w:pStyle w:val="Akapitzlist"/>
                    <w:numPr>
                      <w:ilvl w:val="0"/>
                      <w:numId w:val="2"/>
                    </w:numPr>
                    <w:tabs>
                      <w:tab w:val="left" w:pos="0"/>
                      <w:tab w:val="left" w:pos="250"/>
                    </w:tabs>
                    <w:spacing w:after="240"/>
                    <w:ind w:left="-74" w:right="1498" w:firstLine="0"/>
                    <w:jc w:val="both"/>
                    <w:rPr>
                      <w:rFonts w:ascii="Times New Roman" w:eastAsia="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S.</w:t>
                  </w:r>
                  <w:r w:rsidRPr="008F6436">
                    <w:rPr>
                      <w:rStyle w:val="a-size-large"/>
                      <w:rFonts w:ascii="Times New Roman" w:hAnsi="Times New Roman" w:cs="Times New Roman"/>
                      <w:color w:val="000000" w:themeColor="text1"/>
                      <w:sz w:val="18"/>
                      <w:szCs w:val="18"/>
                      <w:lang w:val="en-GB"/>
                    </w:rPr>
                    <w:t xml:space="preserve"> O’Shea, </w:t>
                  </w:r>
                  <w:r w:rsidRPr="008F6436">
                    <w:rPr>
                      <w:rStyle w:val="a-size-large"/>
                      <w:rFonts w:ascii="Times New Roman" w:hAnsi="Times New Roman" w:cs="Times New Roman"/>
                      <w:i/>
                      <w:color w:val="000000" w:themeColor="text1"/>
                      <w:sz w:val="18"/>
                      <w:szCs w:val="18"/>
                      <w:lang w:val="en-GB"/>
                    </w:rPr>
                    <w:t>Sea of Faith: Islam and Christianity in the Medieval Mediterranean World</w:t>
                  </w:r>
                  <w:r w:rsidRPr="008F6436">
                    <w:rPr>
                      <w:rFonts w:ascii="Times New Roman" w:hAnsi="Times New Roman" w:cs="Times New Roman"/>
                      <w:i/>
                      <w:color w:val="000000" w:themeColor="text1"/>
                      <w:sz w:val="18"/>
                      <w:szCs w:val="18"/>
                      <w:lang w:val="en-GB"/>
                    </w:rPr>
                    <w:t xml:space="preserve">, </w:t>
                  </w:r>
                  <w:r w:rsidRPr="008F6436">
                    <w:rPr>
                      <w:rFonts w:ascii="Times New Roman" w:hAnsi="Times New Roman" w:cs="Times New Roman"/>
                      <w:color w:val="000000" w:themeColor="text1"/>
                      <w:sz w:val="18"/>
                      <w:szCs w:val="18"/>
                      <w:lang w:val="en-GB"/>
                    </w:rPr>
                    <w:t xml:space="preserve"> 2006</w:t>
                  </w:r>
                </w:p>
                <w:p w:rsidR="008F6436" w:rsidRPr="008F6436" w:rsidRDefault="008F6436" w:rsidP="008F6436">
                  <w:pPr>
                    <w:pStyle w:val="Akapitzlist"/>
                    <w:numPr>
                      <w:ilvl w:val="0"/>
                      <w:numId w:val="2"/>
                    </w:numPr>
                    <w:tabs>
                      <w:tab w:val="left" w:pos="0"/>
                      <w:tab w:val="left" w:pos="250"/>
                    </w:tabs>
                    <w:spacing w:after="240"/>
                    <w:ind w:left="-74" w:right="1498" w:firstLine="0"/>
                    <w:jc w:val="both"/>
                    <w:rPr>
                      <w:rFonts w:ascii="Times New Roman" w:eastAsia="Times New Roman" w:hAnsi="Times New Roman" w:cs="Times New Roman"/>
                      <w:color w:val="000000" w:themeColor="text1"/>
                      <w:sz w:val="18"/>
                      <w:szCs w:val="18"/>
                    </w:rPr>
                  </w:pPr>
                  <w:r w:rsidRPr="008F6436">
                    <w:rPr>
                      <w:rFonts w:ascii="Times New Roman" w:eastAsia="Times New Roman" w:hAnsi="Times New Roman" w:cs="Times New Roman"/>
                      <w:bCs/>
                      <w:color w:val="000000" w:themeColor="text1"/>
                      <w:sz w:val="18"/>
                      <w:szCs w:val="18"/>
                    </w:rPr>
                    <w:t xml:space="preserve">M. E. Aubet, </w:t>
                  </w:r>
                  <w:r w:rsidRPr="008F6436">
                    <w:rPr>
                      <w:rFonts w:ascii="Times New Roman" w:eastAsia="Times New Roman" w:hAnsi="Times New Roman" w:cs="Times New Roman"/>
                      <w:bCs/>
                      <w:i/>
                      <w:iCs/>
                      <w:color w:val="000000" w:themeColor="text1"/>
                      <w:sz w:val="18"/>
                      <w:szCs w:val="18"/>
                    </w:rPr>
                    <w:t xml:space="preserve">The Phoenicians and the West: Politics, Colonies and Trade., </w:t>
                  </w:r>
                  <w:r w:rsidRPr="008F6436">
                    <w:rPr>
                      <w:rFonts w:ascii="Times New Roman" w:eastAsia="Times New Roman" w:hAnsi="Times New Roman" w:cs="Times New Roman"/>
                      <w:bCs/>
                      <w:color w:val="000000" w:themeColor="text1"/>
                      <w:sz w:val="18"/>
                      <w:szCs w:val="18"/>
                    </w:rPr>
                    <w:t>Cambridge 2001</w:t>
                  </w:r>
                </w:p>
                <w:p w:rsidR="008F6436" w:rsidRPr="008F6436" w:rsidRDefault="008F6436" w:rsidP="008F6436">
                  <w:pPr>
                    <w:pStyle w:val="Akapitzlist"/>
                    <w:numPr>
                      <w:ilvl w:val="0"/>
                      <w:numId w:val="2"/>
                    </w:numPr>
                    <w:tabs>
                      <w:tab w:val="left" w:pos="0"/>
                      <w:tab w:val="left" w:pos="250"/>
                    </w:tabs>
                    <w:spacing w:after="240"/>
                    <w:ind w:left="-74" w:right="1498" w:firstLine="0"/>
                    <w:jc w:val="both"/>
                    <w:rPr>
                      <w:rFonts w:ascii="Times New Roman" w:eastAsia="Times New Roman" w:hAnsi="Times New Roman" w:cs="Times New Roman"/>
                      <w:color w:val="000000" w:themeColor="text1"/>
                      <w:sz w:val="18"/>
                      <w:szCs w:val="18"/>
                    </w:rPr>
                  </w:pPr>
                  <w:r w:rsidRPr="008F6436">
                    <w:rPr>
                      <w:rFonts w:ascii="Times New Roman" w:eastAsia="Times New Roman" w:hAnsi="Times New Roman" w:cs="Times New Roman"/>
                      <w:bCs/>
                      <w:color w:val="000000" w:themeColor="text1"/>
                      <w:sz w:val="18"/>
                      <w:szCs w:val="18"/>
                    </w:rPr>
                    <w:t xml:space="preserve">T. Kotula, </w:t>
                  </w:r>
                  <w:r w:rsidRPr="008F6436">
                    <w:rPr>
                      <w:rFonts w:ascii="Times New Roman" w:eastAsia="Times New Roman" w:hAnsi="Times New Roman" w:cs="Times New Roman"/>
                      <w:bCs/>
                      <w:i/>
                      <w:color w:val="000000" w:themeColor="text1"/>
                      <w:sz w:val="18"/>
                      <w:szCs w:val="18"/>
                    </w:rPr>
                    <w:t>Afryka Północna w starożytności</w:t>
                  </w:r>
                  <w:r w:rsidRPr="008F6436">
                    <w:rPr>
                      <w:rFonts w:ascii="Times New Roman" w:eastAsia="Times New Roman" w:hAnsi="Times New Roman" w:cs="Times New Roman"/>
                      <w:bCs/>
                      <w:color w:val="000000" w:themeColor="text1"/>
                      <w:sz w:val="18"/>
                      <w:szCs w:val="18"/>
                    </w:rPr>
                    <w:t>, Wrocław-Warszawa-Kraków 1972</w:t>
                  </w:r>
                </w:p>
              </w:tc>
            </w:tr>
          </w:tbl>
          <w:p w:rsidR="008F6436" w:rsidRPr="008F6436" w:rsidRDefault="008F6436">
            <w:pPr>
              <w:spacing w:after="240"/>
              <w:jc w:val="both"/>
              <w:rPr>
                <w:rFonts w:ascii="Times New Roman" w:hAnsi="Times New Roman" w:cs="Times New Roman"/>
                <w:color w:val="000000" w:themeColor="text1"/>
                <w:sz w:val="18"/>
                <w:szCs w:val="18"/>
              </w:rPr>
            </w:pP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Historia badań archeolo-gicznych w Afryce Północnej</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 xml:space="preserve">History of archaeologi-cal exploration of North Africa </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Zrozumienienie specyfiki historii odkrywania i badań Afryki Północnej, która po upadku cywilizacj rzymskiej, z powodów religijnych pozostawała izolowana aż do 17 wieku, a od 19 wieku była miejscem rozwoju archeologii kolonialnej.  </w:t>
            </w:r>
          </w:p>
        </w:tc>
        <w:tc>
          <w:tcPr>
            <w:tcW w:w="2201" w:type="pct"/>
            <w:tcBorders>
              <w:top w:val="single" w:sz="4" w:space="0" w:color="auto"/>
              <w:left w:val="single" w:sz="4" w:space="0" w:color="auto"/>
              <w:bottom w:val="single" w:sz="4" w:space="0" w:color="auto"/>
              <w:right w:val="single" w:sz="4" w:space="0" w:color="auto"/>
            </w:tcBorders>
          </w:tcPr>
          <w:p w:rsidR="008F6436" w:rsidRPr="008F6436" w:rsidRDefault="008F6436">
            <w:pPr>
              <w:pStyle w:val="Default"/>
              <w:spacing w:after="240"/>
              <w:jc w:val="both"/>
              <w:rPr>
                <w:color w:val="000000" w:themeColor="text1"/>
                <w:sz w:val="18"/>
                <w:szCs w:val="18"/>
              </w:rPr>
            </w:pPr>
            <w:r w:rsidRPr="008F6436">
              <w:rPr>
                <w:color w:val="000000" w:themeColor="text1"/>
                <w:sz w:val="18"/>
                <w:szCs w:val="18"/>
              </w:rPr>
              <w:t>Wykład (z prezentacją) uzupełniony lekturą wybranych rozdziałów z książek:</w:t>
            </w:r>
          </w:p>
          <w:p w:rsidR="008F6436" w:rsidRPr="008F6436" w:rsidRDefault="008F6436">
            <w:pPr>
              <w:pStyle w:val="Akapitzlist"/>
              <w:spacing w:after="240"/>
              <w:ind w:left="34"/>
              <w:jc w:val="both"/>
              <w:rPr>
                <w:rFonts w:ascii="Times New Roman" w:eastAsia="Times New Roman" w:hAnsi="Times New Roman" w:cs="Times New Roman"/>
                <w:bCs/>
                <w:color w:val="000000" w:themeColor="text1"/>
                <w:kern w:val="36"/>
                <w:sz w:val="18"/>
                <w:szCs w:val="18"/>
                <w:lang w:val="en-GB"/>
              </w:rPr>
            </w:pPr>
            <w:r w:rsidRPr="008F6436">
              <w:rPr>
                <w:rFonts w:ascii="Times New Roman" w:hAnsi="Times New Roman" w:cs="Times New Roman"/>
                <w:color w:val="000000" w:themeColor="text1"/>
                <w:sz w:val="18"/>
                <w:szCs w:val="18"/>
              </w:rPr>
              <w:t xml:space="preserve">1. S. L. Dyson, </w:t>
            </w:r>
            <w:r w:rsidRPr="008F6436">
              <w:rPr>
                <w:rFonts w:ascii="Times New Roman" w:hAnsi="Times New Roman" w:cs="Times New Roman"/>
                <w:i/>
                <w:color w:val="000000" w:themeColor="text1"/>
                <w:sz w:val="18"/>
                <w:szCs w:val="18"/>
              </w:rPr>
              <w:t>I</w:t>
            </w:r>
            <w:r w:rsidRPr="008F6436">
              <w:rPr>
                <w:rFonts w:ascii="Times New Roman" w:eastAsia="Times New Roman" w:hAnsi="Times New Roman" w:cs="Times New Roman"/>
                <w:bCs/>
                <w:i/>
                <w:color w:val="000000" w:themeColor="text1"/>
                <w:kern w:val="36"/>
                <w:sz w:val="18"/>
                <w:szCs w:val="18"/>
                <w:lang w:val="en-GB"/>
              </w:rPr>
              <w:t>n Pursuit of Ancient Pasts: A History of Classical Archaeology in the Nineteenth and Twentieth Centuries</w:t>
            </w:r>
            <w:r w:rsidRPr="008F6436">
              <w:rPr>
                <w:rFonts w:ascii="Times New Roman" w:eastAsia="Times New Roman" w:hAnsi="Times New Roman" w:cs="Times New Roman"/>
                <w:bCs/>
                <w:color w:val="000000" w:themeColor="text1"/>
                <w:kern w:val="36"/>
                <w:sz w:val="18"/>
                <w:szCs w:val="18"/>
                <w:lang w:val="en-GB"/>
              </w:rPr>
              <w:t>, Yale 2013</w:t>
            </w:r>
          </w:p>
          <w:p w:rsidR="008F6436" w:rsidRPr="008F6436" w:rsidRDefault="008F6436">
            <w:pPr>
              <w:pStyle w:val="Akapitzlist"/>
              <w:spacing w:after="240"/>
              <w:ind w:left="34"/>
              <w:jc w:val="both"/>
              <w:rPr>
                <w:rFonts w:ascii="Times New Roman" w:eastAsia="Times New Roman" w:hAnsi="Times New Roman" w:cs="Times New Roman"/>
                <w:bCs/>
                <w:color w:val="000000" w:themeColor="text1"/>
                <w:kern w:val="36"/>
                <w:sz w:val="18"/>
                <w:szCs w:val="18"/>
                <w:lang w:val="en-GB"/>
              </w:rPr>
            </w:pPr>
            <w:r w:rsidRPr="008F6436">
              <w:rPr>
                <w:rFonts w:ascii="Times New Roman" w:hAnsi="Times New Roman" w:cs="Times New Roman"/>
                <w:color w:val="000000" w:themeColor="text1"/>
                <w:sz w:val="18"/>
                <w:szCs w:val="18"/>
              </w:rPr>
              <w:t xml:space="preserve">2. E. Gran-Aymerich, </w:t>
            </w:r>
            <w:r w:rsidRPr="008F6436">
              <w:rPr>
                <w:rFonts w:ascii="Times New Roman" w:hAnsi="Times New Roman" w:cs="Times New Roman"/>
                <w:i/>
                <w:color w:val="000000" w:themeColor="text1"/>
                <w:sz w:val="18"/>
                <w:szCs w:val="18"/>
              </w:rPr>
              <w:t>Naissance de l’archéologie moderne 1798-1945</w:t>
            </w:r>
            <w:r w:rsidRPr="008F6436">
              <w:rPr>
                <w:rFonts w:ascii="Times New Roman" w:hAnsi="Times New Roman" w:cs="Times New Roman"/>
                <w:color w:val="000000" w:themeColor="text1"/>
                <w:sz w:val="18"/>
                <w:szCs w:val="18"/>
              </w:rPr>
              <w:t>, Paris 1998</w:t>
            </w:r>
          </w:p>
          <w:p w:rsidR="008F6436" w:rsidRPr="008F6436" w:rsidRDefault="008F6436">
            <w:pPr>
              <w:pStyle w:val="Akapitzlist"/>
              <w:spacing w:after="240"/>
              <w:ind w:left="34"/>
              <w:jc w:val="both"/>
              <w:rPr>
                <w:rFonts w:ascii="Times New Roman" w:eastAsia="Times New Roman" w:hAnsi="Times New Roman" w:cs="Times New Roman"/>
                <w:bCs/>
                <w:color w:val="000000" w:themeColor="text1"/>
                <w:kern w:val="36"/>
                <w:sz w:val="18"/>
                <w:szCs w:val="18"/>
                <w:lang w:val="en-GB"/>
              </w:rPr>
            </w:pPr>
            <w:r w:rsidRPr="008F6436">
              <w:rPr>
                <w:rFonts w:ascii="Times New Roman" w:eastAsia="Times New Roman" w:hAnsi="Times New Roman" w:cs="Times New Roman"/>
                <w:bCs/>
                <w:color w:val="000000" w:themeColor="text1"/>
                <w:kern w:val="36"/>
                <w:sz w:val="18"/>
                <w:szCs w:val="18"/>
                <w:lang w:val="en-GB"/>
              </w:rPr>
              <w:t xml:space="preserve">3. M. </w:t>
            </w:r>
            <w:proofErr w:type="spellStart"/>
            <w:r w:rsidRPr="008F6436">
              <w:rPr>
                <w:rFonts w:ascii="Times New Roman" w:eastAsia="Times New Roman" w:hAnsi="Times New Roman" w:cs="Times New Roman"/>
                <w:bCs/>
                <w:color w:val="000000" w:themeColor="text1"/>
                <w:kern w:val="36"/>
                <w:sz w:val="18"/>
                <w:szCs w:val="18"/>
                <w:lang w:val="en-GB"/>
              </w:rPr>
              <w:t>Rekowska</w:t>
            </w:r>
            <w:proofErr w:type="spellEnd"/>
            <w:r w:rsidRPr="008F6436">
              <w:rPr>
                <w:rFonts w:ascii="Times New Roman" w:eastAsia="Times New Roman" w:hAnsi="Times New Roman" w:cs="Times New Roman"/>
                <w:bCs/>
                <w:color w:val="000000" w:themeColor="text1"/>
                <w:kern w:val="36"/>
                <w:sz w:val="18"/>
                <w:szCs w:val="18"/>
                <w:lang w:val="en-GB"/>
              </w:rPr>
              <w:t xml:space="preserve">, </w:t>
            </w:r>
            <w:r w:rsidRPr="008F6436">
              <w:rPr>
                <w:rFonts w:ascii="Times New Roman" w:eastAsia="Times New Roman" w:hAnsi="Times New Roman" w:cs="Times New Roman"/>
                <w:bCs/>
                <w:i/>
                <w:color w:val="000000" w:themeColor="text1"/>
                <w:kern w:val="36"/>
                <w:sz w:val="18"/>
                <w:szCs w:val="18"/>
                <w:lang w:val="en-GB"/>
              </w:rPr>
              <w:t>In Pursuit of Ancient Cyrenaica. Two hundred years of exploration set against the history of archaeology in Europe (1706-1911</w:t>
            </w:r>
            <w:r w:rsidRPr="008F6436">
              <w:rPr>
                <w:rFonts w:ascii="Times New Roman" w:eastAsia="Times New Roman" w:hAnsi="Times New Roman" w:cs="Times New Roman"/>
                <w:bCs/>
                <w:color w:val="000000" w:themeColor="text1"/>
                <w:kern w:val="36"/>
                <w:sz w:val="18"/>
                <w:szCs w:val="18"/>
                <w:lang w:val="en-GB"/>
              </w:rPr>
              <w:t>), Oxford 2016</w:t>
            </w:r>
          </w:p>
          <w:p w:rsidR="008F6436" w:rsidRPr="008F6436" w:rsidRDefault="008F6436">
            <w:pPr>
              <w:spacing w:after="240"/>
              <w:jc w:val="both"/>
              <w:rPr>
                <w:rFonts w:ascii="Times New Roman" w:hAnsi="Times New Roman" w:cs="Times New Roman"/>
                <w:color w:val="000000" w:themeColor="text1"/>
                <w:sz w:val="18"/>
                <w:szCs w:val="18"/>
                <w:lang w:val="en-GB"/>
              </w:rPr>
            </w:pP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3.</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Archeologia Afryki Pół-nocnej w okresie punickim i rzymskim</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 xml:space="preserve">Archaeology of North Africa in </w:t>
            </w:r>
            <w:r w:rsidRPr="008F6436">
              <w:rPr>
                <w:rFonts w:ascii="Times New Roman" w:hAnsi="Times New Roman" w:cs="Times New Roman"/>
                <w:i/>
                <w:color w:val="000000" w:themeColor="text1"/>
                <w:sz w:val="18"/>
                <w:szCs w:val="18"/>
              </w:rPr>
              <w:lastRenderedPageBreak/>
              <w:t>Punic and Roman periods.</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 xml:space="preserve">Wykład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Zapoznanie ze złożoną historią regionu, od kolonizacji fenickiej i ukształtowania się kultury punickiej (z głównym ośrodkiem w Kartaginie), przez okres, gdy włączony w skład Imperium </w:t>
            </w:r>
            <w:r w:rsidRPr="008F6436">
              <w:rPr>
                <w:rFonts w:ascii="Times New Roman" w:hAnsi="Times New Roman" w:cs="Times New Roman"/>
                <w:color w:val="000000" w:themeColor="text1"/>
                <w:sz w:val="18"/>
                <w:szCs w:val="18"/>
              </w:rPr>
              <w:lastRenderedPageBreak/>
              <w:t xml:space="preserve">Rzymskiego podlegał silnej romanizacji, aż po najazdy Wandalów w V wieku. Przegląd najważniejszych stanowisk archeologicznych z okresu punickiego i rzymskiego na terenie prowincji </w:t>
            </w:r>
            <w:r w:rsidRPr="008F6436">
              <w:rPr>
                <w:rFonts w:ascii="Times New Roman" w:hAnsi="Times New Roman" w:cs="Times New Roman"/>
                <w:i/>
                <w:color w:val="000000" w:themeColor="text1"/>
                <w:sz w:val="18"/>
                <w:szCs w:val="18"/>
              </w:rPr>
              <w:t>Africa Proconsularis</w:t>
            </w:r>
            <w:r w:rsidRPr="008F6436">
              <w:rPr>
                <w:rFonts w:ascii="Times New Roman" w:hAnsi="Times New Roman" w:cs="Times New Roman"/>
                <w:color w:val="000000" w:themeColor="text1"/>
                <w:sz w:val="18"/>
                <w:szCs w:val="18"/>
              </w:rPr>
              <w:t xml:space="preserve">.  </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pStyle w:val="Default"/>
              <w:spacing w:after="240"/>
              <w:jc w:val="both"/>
              <w:rPr>
                <w:color w:val="000000" w:themeColor="text1"/>
                <w:sz w:val="18"/>
                <w:szCs w:val="18"/>
              </w:rPr>
            </w:pPr>
            <w:r w:rsidRPr="008F6436">
              <w:rPr>
                <w:color w:val="000000" w:themeColor="text1"/>
                <w:sz w:val="18"/>
                <w:szCs w:val="18"/>
              </w:rPr>
              <w:lastRenderedPageBreak/>
              <w:t>Wykład (z prezentacją) uzupełniony lekturą wybranych rozdziałów z książek:</w:t>
            </w:r>
          </w:p>
          <w:p w:rsidR="008F6436" w:rsidRPr="008F6436" w:rsidRDefault="008F6436" w:rsidP="008F6436">
            <w:pPr>
              <w:pStyle w:val="Akapitzlist"/>
              <w:numPr>
                <w:ilvl w:val="0"/>
                <w:numId w:val="3"/>
              </w:numPr>
              <w:tabs>
                <w:tab w:val="left" w:pos="317"/>
              </w:tabs>
              <w:spacing w:after="240"/>
              <w:ind w:left="34" w:firstLine="0"/>
              <w:jc w:val="both"/>
              <w:rPr>
                <w:rFonts w:ascii="Times New Roman" w:eastAsia="Times New Roman" w:hAnsi="Times New Roman" w:cs="Times New Roman"/>
                <w:color w:val="000000" w:themeColor="text1"/>
                <w:sz w:val="18"/>
                <w:szCs w:val="18"/>
              </w:rPr>
            </w:pPr>
            <w:r w:rsidRPr="008F6436">
              <w:rPr>
                <w:rFonts w:ascii="Times New Roman" w:eastAsia="Times New Roman" w:hAnsi="Times New Roman" w:cs="Times New Roman"/>
                <w:i/>
                <w:color w:val="000000" w:themeColor="text1"/>
                <w:sz w:val="18"/>
                <w:szCs w:val="18"/>
              </w:rPr>
              <w:t>The Oxford handbook of African archaeology</w:t>
            </w:r>
            <w:r w:rsidRPr="008F6436">
              <w:rPr>
                <w:rFonts w:ascii="Times New Roman" w:eastAsia="Times New Roman" w:hAnsi="Times New Roman" w:cs="Times New Roman"/>
                <w:color w:val="000000" w:themeColor="text1"/>
                <w:sz w:val="18"/>
                <w:szCs w:val="18"/>
              </w:rPr>
              <w:t>, P.  Mitchell , P. Lane eds,  Oxford 2013</w:t>
            </w:r>
          </w:p>
          <w:p w:rsidR="008F6436" w:rsidRPr="008F6436" w:rsidRDefault="008F6436" w:rsidP="008F6436">
            <w:pPr>
              <w:pStyle w:val="Akapitzlist"/>
              <w:numPr>
                <w:ilvl w:val="0"/>
                <w:numId w:val="3"/>
              </w:numPr>
              <w:tabs>
                <w:tab w:val="left" w:pos="317"/>
              </w:tabs>
              <w:spacing w:after="240"/>
              <w:ind w:left="34" w:firstLine="0"/>
              <w:jc w:val="both"/>
              <w:rPr>
                <w:rStyle w:val="st"/>
                <w:sz w:val="18"/>
                <w:szCs w:val="18"/>
              </w:rPr>
            </w:pPr>
            <w:r w:rsidRPr="008F6436">
              <w:rPr>
                <w:rStyle w:val="st"/>
                <w:rFonts w:ascii="Times New Roman" w:eastAsia="Times New Roman" w:hAnsi="Times New Roman" w:cs="Times New Roman"/>
                <w:color w:val="000000" w:themeColor="text1"/>
                <w:sz w:val="18"/>
                <w:szCs w:val="18"/>
                <w:lang w:val="en-GB"/>
              </w:rPr>
              <w:t>C</w:t>
            </w:r>
            <w:r w:rsidRPr="008F6436">
              <w:rPr>
                <w:rStyle w:val="st"/>
                <w:rFonts w:ascii="Times New Roman" w:eastAsia="Times New Roman" w:hAnsi="Times New Roman" w:cs="Times New Roman"/>
                <w:i/>
                <w:color w:val="000000" w:themeColor="text1"/>
                <w:sz w:val="18"/>
                <w:szCs w:val="18"/>
                <w:lang w:val="en-GB"/>
              </w:rPr>
              <w:t xml:space="preserve">. </w:t>
            </w:r>
            <w:proofErr w:type="spellStart"/>
            <w:r w:rsidRPr="008F6436">
              <w:rPr>
                <w:rStyle w:val="Uwydatnienie"/>
                <w:rFonts w:eastAsia="Times New Roman"/>
                <w:i w:val="0"/>
                <w:color w:val="000000" w:themeColor="text1"/>
                <w:sz w:val="18"/>
                <w:szCs w:val="18"/>
                <w:lang w:val="en-GB"/>
              </w:rPr>
              <w:t>Lepelley</w:t>
            </w:r>
            <w:proofErr w:type="spellEnd"/>
            <w:r w:rsidRPr="008F6436">
              <w:rPr>
                <w:rStyle w:val="st"/>
                <w:rFonts w:ascii="Times New Roman" w:eastAsia="Times New Roman" w:hAnsi="Times New Roman" w:cs="Times New Roman"/>
                <w:color w:val="000000" w:themeColor="text1"/>
                <w:sz w:val="18"/>
                <w:szCs w:val="18"/>
                <w:lang w:val="en-GB"/>
              </w:rPr>
              <w:t xml:space="preserve">, </w:t>
            </w:r>
            <w:r w:rsidRPr="008F6436">
              <w:rPr>
                <w:rStyle w:val="Uwydatnienie"/>
                <w:rFonts w:eastAsia="Times New Roman"/>
                <w:color w:val="000000" w:themeColor="text1"/>
                <w:sz w:val="18"/>
                <w:szCs w:val="18"/>
                <w:lang w:val="en-GB"/>
              </w:rPr>
              <w:t xml:space="preserve">Aspects de </w:t>
            </w:r>
            <w:proofErr w:type="spellStart"/>
            <w:r w:rsidRPr="008F6436">
              <w:rPr>
                <w:rStyle w:val="Uwydatnienie"/>
                <w:rFonts w:eastAsia="Times New Roman"/>
                <w:color w:val="000000" w:themeColor="text1"/>
                <w:sz w:val="18"/>
                <w:szCs w:val="18"/>
                <w:lang w:val="en-GB"/>
              </w:rPr>
              <w:t>l'Afrique</w:t>
            </w:r>
            <w:proofErr w:type="spellEnd"/>
            <w:r w:rsidRPr="008F6436">
              <w:rPr>
                <w:rStyle w:val="Uwydatnienie"/>
                <w:rFonts w:eastAsia="Times New Roman"/>
                <w:color w:val="000000" w:themeColor="text1"/>
                <w:sz w:val="18"/>
                <w:szCs w:val="18"/>
                <w:lang w:val="en-GB"/>
              </w:rPr>
              <w:t xml:space="preserve"> romaine</w:t>
            </w:r>
            <w:r w:rsidRPr="008F6436">
              <w:rPr>
                <w:rStyle w:val="st"/>
                <w:rFonts w:ascii="Times New Roman" w:eastAsia="Times New Roman" w:hAnsi="Times New Roman" w:cs="Times New Roman"/>
                <w:color w:val="000000" w:themeColor="text1"/>
                <w:sz w:val="18"/>
                <w:szCs w:val="18"/>
                <w:lang w:val="en-GB"/>
              </w:rPr>
              <w:t xml:space="preserve">: </w:t>
            </w:r>
            <w:r w:rsidRPr="008F6436">
              <w:rPr>
                <w:rStyle w:val="st"/>
                <w:rFonts w:ascii="Times New Roman" w:eastAsia="Times New Roman" w:hAnsi="Times New Roman" w:cs="Times New Roman"/>
                <w:i/>
                <w:color w:val="000000" w:themeColor="text1"/>
                <w:sz w:val="18"/>
                <w:szCs w:val="18"/>
                <w:lang w:val="en-GB"/>
              </w:rPr>
              <w:t xml:space="preserve">Les </w:t>
            </w:r>
            <w:proofErr w:type="spellStart"/>
            <w:r w:rsidRPr="008F6436">
              <w:rPr>
                <w:rStyle w:val="st"/>
                <w:rFonts w:ascii="Times New Roman" w:eastAsia="Times New Roman" w:hAnsi="Times New Roman" w:cs="Times New Roman"/>
                <w:i/>
                <w:color w:val="000000" w:themeColor="text1"/>
                <w:sz w:val="18"/>
                <w:szCs w:val="18"/>
                <w:lang w:val="en-GB"/>
              </w:rPr>
              <w:t>cités</w:t>
            </w:r>
            <w:proofErr w:type="spellEnd"/>
            <w:r w:rsidRPr="008F6436">
              <w:rPr>
                <w:rStyle w:val="st"/>
                <w:rFonts w:ascii="Times New Roman" w:eastAsia="Times New Roman" w:hAnsi="Times New Roman" w:cs="Times New Roman"/>
                <w:i/>
                <w:color w:val="000000" w:themeColor="text1"/>
                <w:sz w:val="18"/>
                <w:szCs w:val="18"/>
                <w:lang w:val="en-GB"/>
              </w:rPr>
              <w:t xml:space="preserve">, la vie </w:t>
            </w:r>
            <w:proofErr w:type="spellStart"/>
            <w:r w:rsidRPr="008F6436">
              <w:rPr>
                <w:rStyle w:val="st"/>
                <w:rFonts w:ascii="Times New Roman" w:eastAsia="Times New Roman" w:hAnsi="Times New Roman" w:cs="Times New Roman"/>
                <w:i/>
                <w:color w:val="000000" w:themeColor="text1"/>
                <w:sz w:val="18"/>
                <w:szCs w:val="18"/>
                <w:lang w:val="en-GB"/>
              </w:rPr>
              <w:t>rurale</w:t>
            </w:r>
            <w:proofErr w:type="spellEnd"/>
            <w:r w:rsidRPr="008F6436">
              <w:rPr>
                <w:rStyle w:val="st"/>
                <w:rFonts w:ascii="Times New Roman" w:eastAsia="Times New Roman" w:hAnsi="Times New Roman" w:cs="Times New Roman"/>
                <w:i/>
                <w:color w:val="000000" w:themeColor="text1"/>
                <w:sz w:val="18"/>
                <w:szCs w:val="18"/>
                <w:lang w:val="en-GB"/>
              </w:rPr>
              <w:t xml:space="preserve">, le </w:t>
            </w:r>
            <w:proofErr w:type="spellStart"/>
            <w:r w:rsidRPr="008F6436">
              <w:rPr>
                <w:rStyle w:val="st"/>
                <w:rFonts w:ascii="Times New Roman" w:eastAsia="Times New Roman" w:hAnsi="Times New Roman" w:cs="Times New Roman"/>
                <w:i/>
                <w:color w:val="000000" w:themeColor="text1"/>
                <w:sz w:val="18"/>
                <w:szCs w:val="18"/>
                <w:lang w:val="en-GB"/>
              </w:rPr>
              <w:t>Christianisme</w:t>
            </w:r>
            <w:proofErr w:type="spellEnd"/>
            <w:r w:rsidRPr="008F6436">
              <w:rPr>
                <w:rStyle w:val="st"/>
                <w:rFonts w:ascii="Times New Roman" w:eastAsia="Times New Roman" w:hAnsi="Times New Roman" w:cs="Times New Roman"/>
                <w:color w:val="000000" w:themeColor="text1"/>
                <w:sz w:val="18"/>
                <w:szCs w:val="18"/>
                <w:lang w:val="en-GB"/>
              </w:rPr>
              <w:t xml:space="preserve">, Paris 2001  </w:t>
            </w:r>
          </w:p>
          <w:p w:rsidR="008F6436" w:rsidRPr="008F6436" w:rsidRDefault="008F6436" w:rsidP="00397E22">
            <w:pPr>
              <w:pStyle w:val="Akapitzlist"/>
              <w:widowControl w:val="0"/>
              <w:numPr>
                <w:ilvl w:val="0"/>
                <w:numId w:val="3"/>
              </w:numPr>
              <w:tabs>
                <w:tab w:val="left" w:pos="317"/>
              </w:tabs>
              <w:autoSpaceDE w:val="0"/>
              <w:autoSpaceDN w:val="0"/>
              <w:adjustRightInd w:val="0"/>
              <w:spacing w:after="240"/>
              <w:ind w:left="34" w:firstLine="0"/>
              <w:jc w:val="both"/>
              <w:rPr>
                <w:rFonts w:eastAsiaTheme="minorHAnsi"/>
                <w:sz w:val="18"/>
                <w:szCs w:val="18"/>
                <w:lang w:val="en-US" w:eastAsia="en-US"/>
              </w:rPr>
            </w:pPr>
            <w:r w:rsidRPr="008F6436">
              <w:rPr>
                <w:rFonts w:ascii="Times New Roman" w:eastAsia="Times New Roman" w:hAnsi="Times New Roman" w:cs="Times New Roman"/>
                <w:color w:val="000000" w:themeColor="text1"/>
                <w:sz w:val="18"/>
                <w:szCs w:val="18"/>
              </w:rPr>
              <w:t xml:space="preserve">Cl. Briand-Ponsart, Ch. Hugoniot, </w:t>
            </w:r>
            <w:r w:rsidRPr="008F6436">
              <w:rPr>
                <w:rFonts w:ascii="Times New Roman" w:eastAsia="Times New Roman" w:hAnsi="Times New Roman" w:cs="Times New Roman"/>
                <w:i/>
                <w:color w:val="000000" w:themeColor="text1"/>
                <w:sz w:val="18"/>
                <w:szCs w:val="18"/>
              </w:rPr>
              <w:t xml:space="preserve">L'Afrique romaine de l'Atlantique à la Tripolitaine (146 av. J.-C. </w:t>
            </w:r>
            <w:r w:rsidRPr="008F6436">
              <w:rPr>
                <w:rFonts w:ascii="Times New Roman" w:eastAsia="Times New Roman" w:hAnsi="Times New Roman" w:cs="Times New Roman"/>
                <w:i/>
                <w:color w:val="000000" w:themeColor="text1"/>
                <w:sz w:val="18"/>
                <w:szCs w:val="18"/>
              </w:rPr>
              <w:lastRenderedPageBreak/>
              <w:t>À 533 ap. J.-C.),</w:t>
            </w:r>
            <w:r w:rsidRPr="008F6436">
              <w:rPr>
                <w:rFonts w:ascii="Times New Roman" w:eastAsia="Times New Roman" w:hAnsi="Times New Roman" w:cs="Times New Roman"/>
                <w:color w:val="000000" w:themeColor="text1"/>
                <w:sz w:val="18"/>
                <w:szCs w:val="18"/>
              </w:rPr>
              <w:t xml:space="preserve"> Paris 2005</w:t>
            </w:r>
          </w:p>
          <w:p w:rsidR="008F6436" w:rsidRPr="008F6436" w:rsidRDefault="008F6436" w:rsidP="00397E22">
            <w:pPr>
              <w:pStyle w:val="Akapitzlist"/>
              <w:widowControl w:val="0"/>
              <w:numPr>
                <w:ilvl w:val="0"/>
                <w:numId w:val="3"/>
              </w:numPr>
              <w:tabs>
                <w:tab w:val="left" w:pos="317"/>
              </w:tabs>
              <w:autoSpaceDE w:val="0"/>
              <w:autoSpaceDN w:val="0"/>
              <w:adjustRightInd w:val="0"/>
              <w:spacing w:after="240"/>
              <w:ind w:left="34" w:firstLine="22"/>
              <w:jc w:val="both"/>
              <w:rPr>
                <w:rFonts w:ascii="Times New Roman" w:hAnsi="Times New Roman" w:cs="Times New Roman"/>
                <w:color w:val="000000" w:themeColor="text1"/>
                <w:sz w:val="18"/>
                <w:szCs w:val="18"/>
              </w:rPr>
            </w:pPr>
            <w:r w:rsidRPr="008F6436">
              <w:rPr>
                <w:rFonts w:ascii="Times New Roman" w:eastAsiaTheme="minorHAnsi" w:hAnsi="Times New Roman" w:cs="Times New Roman"/>
                <w:color w:val="000000" w:themeColor="text1"/>
                <w:sz w:val="18"/>
                <w:szCs w:val="18"/>
                <w:lang w:val="en-US" w:eastAsia="en-US"/>
              </w:rPr>
              <w:t xml:space="preserve">C. Fenwick, ‘North Africa’ in </w:t>
            </w:r>
            <w:r w:rsidRPr="008F6436">
              <w:rPr>
                <w:rFonts w:ascii="Times New Roman" w:eastAsiaTheme="minorHAnsi" w:hAnsi="Times New Roman" w:cs="Times New Roman"/>
                <w:i/>
                <w:iCs/>
                <w:color w:val="000000" w:themeColor="text1"/>
                <w:sz w:val="18"/>
                <w:szCs w:val="18"/>
                <w:lang w:val="en-US" w:eastAsia="en-US"/>
              </w:rPr>
              <w:t>The Oxford Companion to Archaeology</w:t>
            </w:r>
            <w:r w:rsidRPr="008F6436">
              <w:rPr>
                <w:rFonts w:ascii="Times New Roman" w:eastAsiaTheme="minorHAnsi" w:hAnsi="Times New Roman" w:cs="Times New Roman"/>
                <w:color w:val="000000" w:themeColor="text1"/>
                <w:sz w:val="18"/>
                <w:szCs w:val="18"/>
                <w:lang w:val="en-US" w:eastAsia="en-US"/>
              </w:rPr>
              <w:t>, N. A. Silberman ed., Oxford 2012</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4.</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Urbanizacja i miejska architektura monumentalna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i/>
                <w:color w:val="000000" w:themeColor="text1"/>
                <w:sz w:val="18"/>
                <w:szCs w:val="18"/>
              </w:rPr>
              <w:t>Urbanization and monu-mentalization of archi-tecture in Roman Africa</w:t>
            </w:r>
            <w:r w:rsidRPr="008F6436">
              <w:rPr>
                <w:rFonts w:ascii="Times New Roman" w:hAnsi="Times New Roman" w:cs="Times New Roman"/>
                <w:color w:val="000000" w:themeColor="text1"/>
                <w:sz w:val="18"/>
                <w:szCs w:val="18"/>
              </w:rPr>
              <w:t xml:space="preserve">. </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Zapoznanie  z najważniejszymi miejskimi ośrodkami w prowincjach </w:t>
            </w:r>
            <w:r w:rsidRPr="008F6436">
              <w:rPr>
                <w:rFonts w:ascii="Times New Roman" w:hAnsi="Times New Roman" w:cs="Times New Roman"/>
                <w:i/>
                <w:color w:val="000000" w:themeColor="text1"/>
                <w:sz w:val="18"/>
                <w:szCs w:val="18"/>
              </w:rPr>
              <w:t>Africa Proconsularis</w:t>
            </w:r>
            <w:r w:rsidRPr="008F6436">
              <w:rPr>
                <w:rFonts w:ascii="Times New Roman" w:hAnsi="Times New Roman" w:cs="Times New Roman"/>
                <w:color w:val="000000" w:themeColor="text1"/>
                <w:sz w:val="18"/>
                <w:szCs w:val="18"/>
              </w:rPr>
              <w:t xml:space="preserve"> i </w:t>
            </w:r>
            <w:r w:rsidRPr="008F6436">
              <w:rPr>
                <w:rFonts w:ascii="Times New Roman" w:hAnsi="Times New Roman" w:cs="Times New Roman"/>
                <w:i/>
                <w:color w:val="000000" w:themeColor="text1"/>
                <w:sz w:val="18"/>
                <w:szCs w:val="18"/>
              </w:rPr>
              <w:t>Numidia</w:t>
            </w:r>
            <w:r w:rsidRPr="008F6436">
              <w:rPr>
                <w:rFonts w:ascii="Times New Roman" w:hAnsi="Times New Roman" w:cs="Times New Roman"/>
                <w:color w:val="000000" w:themeColor="text1"/>
                <w:sz w:val="18"/>
                <w:szCs w:val="18"/>
              </w:rPr>
              <w:t xml:space="preserve">, których rozwój datowany jest na okres rzymskiego panowania (Leptis Magna, Sabratha, ThysdrusThugga, Bulla Regia, Timgad, Lambaesis, Cuicul); zrozumienie charakateru i znaczenia romanizacji widzianej przez pryzmat zabudowy miejskiej, w tym zwłaszcza monumentalnych budowli publicznych. </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(z prezentacją) uzupełniony lekturą wybranych rozdziałów z książek: </w:t>
            </w:r>
          </w:p>
          <w:p w:rsidR="008F6436" w:rsidRPr="008F6436" w:rsidRDefault="008F6436" w:rsidP="008F6436">
            <w:pPr>
              <w:pStyle w:val="Akapitzlist"/>
              <w:numPr>
                <w:ilvl w:val="0"/>
                <w:numId w:val="4"/>
              </w:numPr>
              <w:tabs>
                <w:tab w:val="left" w:pos="317"/>
              </w:tabs>
              <w:spacing w:after="240"/>
              <w:ind w:left="34" w:firstLine="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F. Sear, </w:t>
            </w:r>
            <w:r w:rsidRPr="008F6436">
              <w:rPr>
                <w:rFonts w:ascii="Times New Roman" w:hAnsi="Times New Roman" w:cs="Times New Roman"/>
                <w:i/>
                <w:color w:val="000000" w:themeColor="text1"/>
                <w:sz w:val="18"/>
                <w:szCs w:val="18"/>
              </w:rPr>
              <w:t>Roman architecture</w:t>
            </w:r>
            <w:r w:rsidRPr="008F6436">
              <w:rPr>
                <w:rFonts w:ascii="Times New Roman" w:hAnsi="Times New Roman" w:cs="Times New Roman"/>
                <w:color w:val="000000" w:themeColor="text1"/>
                <w:sz w:val="18"/>
                <w:szCs w:val="18"/>
              </w:rPr>
              <w:t>, London 1982</w:t>
            </w:r>
          </w:p>
          <w:p w:rsidR="008F6436" w:rsidRPr="008F6436" w:rsidRDefault="008F6436" w:rsidP="008F6436">
            <w:pPr>
              <w:pStyle w:val="Akapitzlist"/>
              <w:numPr>
                <w:ilvl w:val="0"/>
                <w:numId w:val="4"/>
              </w:numPr>
              <w:tabs>
                <w:tab w:val="left" w:pos="317"/>
              </w:tabs>
              <w:spacing w:after="240"/>
              <w:ind w:left="34" w:firstLine="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J. Ward-Perkins, </w:t>
            </w:r>
            <w:r w:rsidRPr="008F6436">
              <w:rPr>
                <w:rFonts w:ascii="Times New Roman" w:hAnsi="Times New Roman" w:cs="Times New Roman"/>
                <w:i/>
                <w:color w:val="000000" w:themeColor="text1"/>
                <w:sz w:val="18"/>
                <w:szCs w:val="18"/>
              </w:rPr>
              <w:t>Roman Imperial Architecture,</w:t>
            </w:r>
            <w:r w:rsidRPr="008F6436">
              <w:rPr>
                <w:rFonts w:ascii="Times New Roman" w:hAnsi="Times New Roman" w:cs="Times New Roman"/>
                <w:color w:val="000000" w:themeColor="text1"/>
                <w:sz w:val="18"/>
                <w:szCs w:val="18"/>
              </w:rPr>
              <w:t xml:space="preserve"> New York 1981</w:t>
            </w:r>
          </w:p>
          <w:p w:rsidR="008F6436" w:rsidRPr="008F6436" w:rsidRDefault="008F6436" w:rsidP="008F6436">
            <w:pPr>
              <w:pStyle w:val="Akapitzlist"/>
              <w:numPr>
                <w:ilvl w:val="0"/>
                <w:numId w:val="4"/>
              </w:numPr>
              <w:tabs>
                <w:tab w:val="left" w:pos="317"/>
              </w:tabs>
              <w:spacing w:after="240"/>
              <w:ind w:left="34" w:firstLine="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M. Carucci, </w:t>
            </w:r>
            <w:r w:rsidRPr="008F6436">
              <w:rPr>
                <w:rFonts w:ascii="Times New Roman" w:hAnsi="Times New Roman" w:cs="Times New Roman"/>
                <w:i/>
                <w:color w:val="000000" w:themeColor="text1"/>
                <w:sz w:val="18"/>
                <w:szCs w:val="18"/>
              </w:rPr>
              <w:t>The Romano-African domus</w:t>
            </w:r>
            <w:r w:rsidRPr="008F6436">
              <w:rPr>
                <w:rFonts w:ascii="Times New Roman" w:hAnsi="Times New Roman" w:cs="Times New Roman"/>
                <w:color w:val="000000" w:themeColor="text1"/>
                <w:sz w:val="18"/>
                <w:szCs w:val="18"/>
              </w:rPr>
              <w:t>, Oxford 2007</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5.</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Religia i kulty – sanktuaria i świątynie w prowincjach północnoafrykańskich</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Religion and cultes - sanctuaries and temples in North Africa</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Poznanie specyfiki religii rzymskiej w Północnej Afryki, z uwzględnieniem lokalnych, przed-rzymskich tradycji; poznanie na określonych przykładach świątyń i sanktuariów charakteru czczonych bóstw i osób - od kultu oficjalnego (bóstwa państwowe, kult cesarzy i ich rodzin) po kulty prywatne. </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pStyle w:val="Default"/>
              <w:spacing w:after="240"/>
              <w:jc w:val="both"/>
              <w:rPr>
                <w:color w:val="000000" w:themeColor="text1"/>
                <w:sz w:val="18"/>
                <w:szCs w:val="18"/>
              </w:rPr>
            </w:pPr>
            <w:r w:rsidRPr="008F6436">
              <w:rPr>
                <w:color w:val="000000" w:themeColor="text1"/>
                <w:sz w:val="18"/>
                <w:szCs w:val="18"/>
              </w:rPr>
              <w:t>Wykład (z prezentacją) uzupełniony lekturą wybranych rozdziałów z następujących książek:</w:t>
            </w:r>
          </w:p>
          <w:p w:rsidR="008F6436" w:rsidRPr="008F6436" w:rsidRDefault="008F6436" w:rsidP="00397E22">
            <w:pPr>
              <w:pStyle w:val="Default"/>
              <w:numPr>
                <w:ilvl w:val="0"/>
                <w:numId w:val="5"/>
              </w:numPr>
              <w:tabs>
                <w:tab w:val="left" w:pos="317"/>
              </w:tabs>
              <w:ind w:left="34" w:firstLine="22"/>
              <w:jc w:val="both"/>
              <w:rPr>
                <w:color w:val="000000" w:themeColor="text1"/>
                <w:sz w:val="18"/>
                <w:szCs w:val="18"/>
                <w:lang w:val="en-GB"/>
              </w:rPr>
            </w:pPr>
            <w:r w:rsidRPr="008F6436">
              <w:rPr>
                <w:i/>
                <w:color w:val="000000" w:themeColor="text1"/>
                <w:sz w:val="18"/>
                <w:szCs w:val="18"/>
                <w:lang w:val="en-GB"/>
              </w:rPr>
              <w:t>Classical archaeology</w:t>
            </w:r>
            <w:r w:rsidRPr="008F6436">
              <w:rPr>
                <w:color w:val="000000" w:themeColor="text1"/>
                <w:sz w:val="18"/>
                <w:szCs w:val="18"/>
                <w:lang w:val="en-GB"/>
              </w:rPr>
              <w:t xml:space="preserve">, S. </w:t>
            </w:r>
            <w:proofErr w:type="spellStart"/>
            <w:r w:rsidRPr="008F6436">
              <w:rPr>
                <w:color w:val="000000" w:themeColor="text1"/>
                <w:sz w:val="18"/>
                <w:szCs w:val="18"/>
                <w:lang w:val="en-GB"/>
              </w:rPr>
              <w:t>Alcock</w:t>
            </w:r>
            <w:proofErr w:type="spellEnd"/>
            <w:r w:rsidRPr="008F6436">
              <w:rPr>
                <w:color w:val="000000" w:themeColor="text1"/>
                <w:sz w:val="18"/>
                <w:szCs w:val="18"/>
                <w:lang w:val="en-GB"/>
              </w:rPr>
              <w:t xml:space="preserve">, R. Osborne eds, Oxford 2013 (Ch. Smith, </w:t>
            </w:r>
            <w:r w:rsidRPr="008F6436">
              <w:rPr>
                <w:i/>
                <w:color w:val="000000" w:themeColor="text1"/>
                <w:sz w:val="18"/>
                <w:szCs w:val="18"/>
                <w:lang w:val="en-GB"/>
              </w:rPr>
              <w:t>Cult and Ritual. The Roman World</w:t>
            </w:r>
            <w:r w:rsidRPr="008F6436">
              <w:rPr>
                <w:color w:val="000000" w:themeColor="text1"/>
                <w:sz w:val="18"/>
                <w:szCs w:val="18"/>
                <w:lang w:val="en-GB"/>
              </w:rPr>
              <w:t>, 268-292)</w:t>
            </w:r>
          </w:p>
          <w:p w:rsidR="008F6436" w:rsidRPr="008F6436" w:rsidRDefault="008F6436" w:rsidP="00397E22">
            <w:pPr>
              <w:pStyle w:val="Default"/>
              <w:numPr>
                <w:ilvl w:val="0"/>
                <w:numId w:val="5"/>
              </w:numPr>
              <w:tabs>
                <w:tab w:val="left" w:pos="317"/>
              </w:tabs>
              <w:ind w:left="34" w:firstLine="22"/>
              <w:jc w:val="both"/>
              <w:rPr>
                <w:color w:val="000000" w:themeColor="text1"/>
                <w:sz w:val="18"/>
                <w:szCs w:val="18"/>
                <w:lang w:val="en-GB"/>
              </w:rPr>
            </w:pPr>
            <w:r w:rsidRPr="008F6436">
              <w:rPr>
                <w:i/>
                <w:color w:val="000000" w:themeColor="text1"/>
                <w:sz w:val="18"/>
                <w:szCs w:val="18"/>
                <w:lang w:val="en-GB"/>
              </w:rPr>
              <w:t>Pagan Gods and Shrines of the Roman Empire</w:t>
            </w:r>
            <w:r w:rsidRPr="008F6436">
              <w:rPr>
                <w:color w:val="000000" w:themeColor="text1"/>
                <w:sz w:val="18"/>
                <w:szCs w:val="18"/>
                <w:lang w:val="en-GB"/>
              </w:rPr>
              <w:t>, M. Henig, A. King eds, Oxford 1986</w:t>
            </w:r>
          </w:p>
          <w:p w:rsidR="008F6436" w:rsidRPr="008F6436" w:rsidRDefault="008F6436" w:rsidP="00397E22">
            <w:pPr>
              <w:pStyle w:val="Default"/>
              <w:numPr>
                <w:ilvl w:val="0"/>
                <w:numId w:val="5"/>
              </w:numPr>
              <w:tabs>
                <w:tab w:val="left" w:pos="317"/>
              </w:tabs>
              <w:ind w:left="34" w:firstLine="22"/>
              <w:jc w:val="both"/>
              <w:rPr>
                <w:color w:val="000000" w:themeColor="text1"/>
                <w:sz w:val="18"/>
                <w:szCs w:val="18"/>
                <w:lang w:val="en-GB"/>
              </w:rPr>
            </w:pPr>
            <w:r w:rsidRPr="008F6436">
              <w:rPr>
                <w:color w:val="000000" w:themeColor="text1"/>
                <w:sz w:val="18"/>
                <w:szCs w:val="18"/>
                <w:lang w:val="en-GB"/>
              </w:rPr>
              <w:t xml:space="preserve">J. Rives, </w:t>
            </w:r>
            <w:r w:rsidRPr="008F6436">
              <w:rPr>
                <w:i/>
                <w:color w:val="000000" w:themeColor="text1"/>
                <w:sz w:val="18"/>
                <w:szCs w:val="18"/>
                <w:lang w:val="en-GB"/>
              </w:rPr>
              <w:t>Religion and Authority in Roman Carthage</w:t>
            </w:r>
            <w:r w:rsidRPr="008F6436">
              <w:rPr>
                <w:color w:val="000000" w:themeColor="text1"/>
                <w:sz w:val="18"/>
                <w:szCs w:val="18"/>
                <w:lang w:val="en-GB"/>
              </w:rPr>
              <w:t>, Oxford 1995</w:t>
            </w:r>
          </w:p>
          <w:p w:rsidR="008F6436" w:rsidRPr="008F6436" w:rsidRDefault="008F6436" w:rsidP="00397E22">
            <w:pPr>
              <w:pStyle w:val="Default"/>
              <w:numPr>
                <w:ilvl w:val="0"/>
                <w:numId w:val="5"/>
              </w:numPr>
              <w:tabs>
                <w:tab w:val="left" w:pos="317"/>
              </w:tabs>
              <w:ind w:left="34" w:firstLine="22"/>
              <w:jc w:val="both"/>
              <w:rPr>
                <w:color w:val="000000" w:themeColor="text1"/>
                <w:sz w:val="18"/>
                <w:szCs w:val="18"/>
                <w:lang w:val="en-GB"/>
              </w:rPr>
            </w:pPr>
            <w:proofErr w:type="spellStart"/>
            <w:r w:rsidRPr="008F6436">
              <w:rPr>
                <w:i/>
                <w:color w:val="000000" w:themeColor="text1"/>
                <w:sz w:val="18"/>
                <w:szCs w:val="18"/>
                <w:lang w:val="en-GB"/>
              </w:rPr>
              <w:t>Lieux</w:t>
            </w:r>
            <w:proofErr w:type="spellEnd"/>
            <w:r w:rsidRPr="008F6436">
              <w:rPr>
                <w:i/>
                <w:color w:val="000000" w:themeColor="text1"/>
                <w:sz w:val="18"/>
                <w:szCs w:val="18"/>
                <w:lang w:val="en-GB"/>
              </w:rPr>
              <w:t xml:space="preserve"> de </w:t>
            </w:r>
            <w:proofErr w:type="spellStart"/>
            <w:r w:rsidRPr="008F6436">
              <w:rPr>
                <w:i/>
                <w:color w:val="000000" w:themeColor="text1"/>
                <w:sz w:val="18"/>
                <w:szCs w:val="18"/>
                <w:lang w:val="en-GB"/>
              </w:rPr>
              <w:t>cultes</w:t>
            </w:r>
            <w:proofErr w:type="spellEnd"/>
            <w:r w:rsidRPr="008F6436">
              <w:rPr>
                <w:i/>
                <w:color w:val="000000" w:themeColor="text1"/>
                <w:sz w:val="18"/>
                <w:szCs w:val="18"/>
                <w:lang w:val="en-GB"/>
              </w:rPr>
              <w:t xml:space="preserve"> : </w:t>
            </w:r>
            <w:proofErr w:type="spellStart"/>
            <w:r w:rsidRPr="008F6436">
              <w:rPr>
                <w:i/>
                <w:color w:val="000000" w:themeColor="text1"/>
                <w:sz w:val="18"/>
                <w:szCs w:val="18"/>
                <w:lang w:val="en-GB"/>
              </w:rPr>
              <w:t>aires</w:t>
            </w:r>
            <w:proofErr w:type="spellEnd"/>
            <w:r w:rsidRPr="008F6436">
              <w:rPr>
                <w:i/>
                <w:color w:val="000000" w:themeColor="text1"/>
                <w:sz w:val="18"/>
                <w:szCs w:val="18"/>
                <w:lang w:val="en-GB"/>
              </w:rPr>
              <w:t xml:space="preserve"> votives, temples, </w:t>
            </w:r>
            <w:proofErr w:type="spellStart"/>
            <w:r w:rsidRPr="008F6436">
              <w:rPr>
                <w:i/>
                <w:color w:val="000000" w:themeColor="text1"/>
                <w:sz w:val="18"/>
                <w:szCs w:val="18"/>
                <w:lang w:val="en-GB"/>
              </w:rPr>
              <w:t>églises</w:t>
            </w:r>
            <w:proofErr w:type="spellEnd"/>
            <w:r w:rsidRPr="008F6436">
              <w:rPr>
                <w:i/>
                <w:color w:val="000000" w:themeColor="text1"/>
                <w:sz w:val="18"/>
                <w:szCs w:val="18"/>
                <w:lang w:val="en-GB"/>
              </w:rPr>
              <w:t xml:space="preserve">, </w:t>
            </w:r>
            <w:proofErr w:type="spellStart"/>
            <w:r w:rsidRPr="008F6436">
              <w:rPr>
                <w:i/>
                <w:color w:val="000000" w:themeColor="text1"/>
                <w:sz w:val="18"/>
                <w:szCs w:val="18"/>
                <w:lang w:val="en-GB"/>
              </w:rPr>
              <w:t>mosquées</w:t>
            </w:r>
            <w:proofErr w:type="spellEnd"/>
            <w:r w:rsidRPr="008F6436">
              <w:rPr>
                <w:i/>
                <w:color w:val="000000" w:themeColor="text1"/>
                <w:sz w:val="18"/>
                <w:szCs w:val="18"/>
                <w:lang w:val="en-GB"/>
              </w:rPr>
              <w:t xml:space="preserve">. </w:t>
            </w:r>
            <w:proofErr w:type="spellStart"/>
            <w:r w:rsidRPr="008F6436">
              <w:rPr>
                <w:i/>
                <w:color w:val="000000" w:themeColor="text1"/>
                <w:sz w:val="18"/>
                <w:szCs w:val="18"/>
                <w:lang w:val="en-GB"/>
              </w:rPr>
              <w:t>IXe</w:t>
            </w:r>
            <w:proofErr w:type="spellEnd"/>
            <w:r w:rsidRPr="008F6436">
              <w:rPr>
                <w:i/>
                <w:color w:val="000000" w:themeColor="text1"/>
                <w:sz w:val="18"/>
                <w:szCs w:val="18"/>
                <w:lang w:val="en-GB"/>
              </w:rPr>
              <w:t xml:space="preserve"> </w:t>
            </w:r>
            <w:proofErr w:type="spellStart"/>
            <w:r w:rsidRPr="008F6436">
              <w:rPr>
                <w:i/>
                <w:color w:val="000000" w:themeColor="text1"/>
                <w:sz w:val="18"/>
                <w:szCs w:val="18"/>
                <w:lang w:val="en-GB"/>
              </w:rPr>
              <w:t>Colloque</w:t>
            </w:r>
            <w:proofErr w:type="spellEnd"/>
            <w:r w:rsidRPr="008F6436">
              <w:rPr>
                <w:i/>
                <w:color w:val="000000" w:themeColor="text1"/>
                <w:sz w:val="18"/>
                <w:szCs w:val="18"/>
                <w:lang w:val="en-GB"/>
              </w:rPr>
              <w:t xml:space="preserve"> international sur </w:t>
            </w:r>
            <w:proofErr w:type="spellStart"/>
            <w:r w:rsidRPr="008F6436">
              <w:rPr>
                <w:i/>
                <w:color w:val="000000" w:themeColor="text1"/>
                <w:sz w:val="18"/>
                <w:szCs w:val="18"/>
                <w:lang w:val="en-GB"/>
              </w:rPr>
              <w:t>l’histoire</w:t>
            </w:r>
            <w:proofErr w:type="spellEnd"/>
            <w:r w:rsidRPr="008F6436">
              <w:rPr>
                <w:i/>
                <w:color w:val="000000" w:themeColor="text1"/>
                <w:sz w:val="18"/>
                <w:szCs w:val="18"/>
                <w:lang w:val="en-GB"/>
              </w:rPr>
              <w:t xml:space="preserve"> et </w:t>
            </w:r>
            <w:proofErr w:type="spellStart"/>
            <w:r w:rsidRPr="008F6436">
              <w:rPr>
                <w:i/>
                <w:color w:val="000000" w:themeColor="text1"/>
                <w:sz w:val="18"/>
                <w:szCs w:val="18"/>
                <w:lang w:val="en-GB"/>
              </w:rPr>
              <w:t>l’archéologie</w:t>
            </w:r>
            <w:proofErr w:type="spellEnd"/>
            <w:r w:rsidRPr="008F6436">
              <w:rPr>
                <w:i/>
                <w:color w:val="000000" w:themeColor="text1"/>
                <w:sz w:val="18"/>
                <w:szCs w:val="18"/>
                <w:lang w:val="en-GB"/>
              </w:rPr>
              <w:t xml:space="preserve"> de </w:t>
            </w:r>
            <w:proofErr w:type="spellStart"/>
            <w:r w:rsidRPr="008F6436">
              <w:rPr>
                <w:i/>
                <w:color w:val="000000" w:themeColor="text1"/>
                <w:sz w:val="18"/>
                <w:szCs w:val="18"/>
                <w:lang w:val="en-GB"/>
              </w:rPr>
              <w:t>l’Afrique</w:t>
            </w:r>
            <w:proofErr w:type="spellEnd"/>
            <w:r w:rsidRPr="008F6436">
              <w:rPr>
                <w:i/>
                <w:color w:val="000000" w:themeColor="text1"/>
                <w:sz w:val="18"/>
                <w:szCs w:val="18"/>
                <w:lang w:val="en-GB"/>
              </w:rPr>
              <w:t xml:space="preserve"> du Nord antique et </w:t>
            </w:r>
            <w:proofErr w:type="spellStart"/>
            <w:r w:rsidRPr="008F6436">
              <w:rPr>
                <w:i/>
                <w:color w:val="000000" w:themeColor="text1"/>
                <w:sz w:val="18"/>
                <w:szCs w:val="18"/>
                <w:lang w:val="en-GB"/>
              </w:rPr>
              <w:t>médiévale</w:t>
            </w:r>
            <w:proofErr w:type="spellEnd"/>
            <w:r w:rsidRPr="008F6436">
              <w:rPr>
                <w:i/>
                <w:color w:val="000000" w:themeColor="text1"/>
                <w:sz w:val="18"/>
                <w:szCs w:val="18"/>
                <w:lang w:val="en-GB"/>
              </w:rPr>
              <w:t xml:space="preserve"> (Tripoli, 19-25 </w:t>
            </w:r>
            <w:proofErr w:type="spellStart"/>
            <w:r w:rsidRPr="008F6436">
              <w:rPr>
                <w:i/>
                <w:color w:val="000000" w:themeColor="text1"/>
                <w:sz w:val="18"/>
                <w:szCs w:val="18"/>
                <w:lang w:val="en-GB"/>
              </w:rPr>
              <w:t>février</w:t>
            </w:r>
            <w:proofErr w:type="spellEnd"/>
            <w:r w:rsidRPr="008F6436">
              <w:rPr>
                <w:i/>
                <w:color w:val="000000" w:themeColor="text1"/>
                <w:sz w:val="18"/>
                <w:szCs w:val="18"/>
                <w:lang w:val="en-GB"/>
              </w:rPr>
              <w:t xml:space="preserve"> 2005)</w:t>
            </w:r>
            <w:r w:rsidRPr="008F6436">
              <w:rPr>
                <w:color w:val="000000" w:themeColor="text1"/>
                <w:sz w:val="18"/>
                <w:szCs w:val="18"/>
                <w:lang w:val="en-GB"/>
              </w:rPr>
              <w:t>,  Paris 2008 (</w:t>
            </w:r>
            <w:r w:rsidRPr="008F6436">
              <w:rPr>
                <w:rStyle w:val="Uwydatnienie"/>
                <w:color w:val="000000" w:themeColor="text1"/>
                <w:sz w:val="18"/>
                <w:szCs w:val="18"/>
                <w:lang w:val="en-GB"/>
              </w:rPr>
              <w:t xml:space="preserve">Études </w:t>
            </w:r>
            <w:proofErr w:type="spellStart"/>
            <w:r w:rsidRPr="008F6436">
              <w:rPr>
                <w:rStyle w:val="Uwydatnienie"/>
                <w:color w:val="000000" w:themeColor="text1"/>
                <w:sz w:val="18"/>
                <w:szCs w:val="18"/>
                <w:lang w:val="en-GB"/>
              </w:rPr>
              <w:t>d'antiquités</w:t>
            </w:r>
            <w:proofErr w:type="spellEnd"/>
            <w:r w:rsidRPr="008F6436">
              <w:rPr>
                <w:rStyle w:val="Uwydatnienie"/>
                <w:color w:val="000000" w:themeColor="text1"/>
                <w:sz w:val="18"/>
                <w:szCs w:val="18"/>
                <w:lang w:val="en-GB"/>
              </w:rPr>
              <w:t xml:space="preserve"> </w:t>
            </w:r>
            <w:proofErr w:type="spellStart"/>
            <w:r w:rsidRPr="008F6436">
              <w:rPr>
                <w:rStyle w:val="Uwydatnienie"/>
                <w:color w:val="000000" w:themeColor="text1"/>
                <w:sz w:val="18"/>
                <w:szCs w:val="18"/>
                <w:lang w:val="en-GB"/>
              </w:rPr>
              <w:t>africaines</w:t>
            </w:r>
            <w:proofErr w:type="spellEnd"/>
            <w:r w:rsidRPr="008F6436">
              <w:rPr>
                <w:color w:val="000000" w:themeColor="text1"/>
                <w:sz w:val="18"/>
                <w:szCs w:val="18"/>
                <w:lang w:val="en-GB"/>
              </w:rPr>
              <w:t>)</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6.</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Domy w rzymskiej Afryce – plany i deko-racja (mozaiki, malowid-ła, dekoracja </w:t>
            </w:r>
            <w:r w:rsidRPr="008F6436">
              <w:rPr>
                <w:rFonts w:ascii="Times New Roman" w:hAnsi="Times New Roman" w:cs="Times New Roman"/>
                <w:color w:val="000000" w:themeColor="text1"/>
                <w:sz w:val="18"/>
                <w:szCs w:val="18"/>
              </w:rPr>
              <w:lastRenderedPageBreak/>
              <w:t xml:space="preserve">architekto-niczna)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i/>
                <w:color w:val="000000" w:themeColor="text1"/>
                <w:sz w:val="18"/>
                <w:szCs w:val="18"/>
              </w:rPr>
              <w:t>Domestic architecture and its decoration (mosaics, paintings and architectural decoration) in Roman Africa</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 xml:space="preserve">Wykład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Poznanie rzymskich domów miejskich elit w Północnej Afryce, zrozumienie zależności między funkcją pomieszczeń a ich dekoracją; </w:t>
            </w:r>
            <w:r w:rsidRPr="008F6436">
              <w:rPr>
                <w:rFonts w:ascii="Times New Roman" w:hAnsi="Times New Roman" w:cs="Times New Roman"/>
                <w:color w:val="000000" w:themeColor="text1"/>
                <w:sz w:val="18"/>
                <w:szCs w:val="18"/>
              </w:rPr>
              <w:lastRenderedPageBreak/>
              <w:t>przedstawienie domów  (ich rozplanowania)  jako źródła wiedzy na tematy relacji rodzinnych i społecznych w silnie zhierchizowanym rzymskim społeczeństwie.</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pStyle w:val="Default"/>
              <w:spacing w:after="240"/>
              <w:jc w:val="both"/>
              <w:rPr>
                <w:color w:val="000000" w:themeColor="text1"/>
                <w:sz w:val="18"/>
                <w:szCs w:val="18"/>
              </w:rPr>
            </w:pPr>
            <w:r w:rsidRPr="008F6436">
              <w:rPr>
                <w:color w:val="000000" w:themeColor="text1"/>
                <w:sz w:val="18"/>
                <w:szCs w:val="18"/>
              </w:rPr>
              <w:lastRenderedPageBreak/>
              <w:t>Wykład (z prezentacją) uzupełniony lekturą wybranych rozdziałów z następujących książek:</w:t>
            </w:r>
          </w:p>
          <w:p w:rsidR="008F6436" w:rsidRPr="008F6436" w:rsidRDefault="008F6436" w:rsidP="008F6436">
            <w:pPr>
              <w:pStyle w:val="Akapitzlist"/>
              <w:numPr>
                <w:ilvl w:val="0"/>
                <w:numId w:val="6"/>
              </w:numPr>
              <w:tabs>
                <w:tab w:val="left" w:pos="317"/>
              </w:tabs>
              <w:spacing w:after="240"/>
              <w:ind w:left="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1. </w:t>
            </w:r>
            <w:r w:rsidRPr="008F6436">
              <w:rPr>
                <w:rFonts w:ascii="Times New Roman" w:hAnsi="Times New Roman" w:cs="Times New Roman"/>
                <w:i/>
                <w:color w:val="000000" w:themeColor="text1"/>
                <w:sz w:val="18"/>
                <w:szCs w:val="18"/>
              </w:rPr>
              <w:t xml:space="preserve">Handbook of Roman Art, </w:t>
            </w:r>
            <w:r w:rsidRPr="008F6436">
              <w:rPr>
                <w:rFonts w:ascii="Times New Roman" w:hAnsi="Times New Roman" w:cs="Times New Roman"/>
                <w:color w:val="000000" w:themeColor="text1"/>
                <w:sz w:val="18"/>
                <w:szCs w:val="18"/>
              </w:rPr>
              <w:t>M. Henig ed., Bath 1983</w:t>
            </w:r>
          </w:p>
          <w:p w:rsidR="008F6436" w:rsidRPr="008F6436" w:rsidRDefault="008F6436" w:rsidP="008F6436">
            <w:pPr>
              <w:pStyle w:val="Akapitzlist"/>
              <w:numPr>
                <w:ilvl w:val="0"/>
                <w:numId w:val="6"/>
              </w:numPr>
              <w:tabs>
                <w:tab w:val="left" w:pos="317"/>
              </w:tabs>
              <w:spacing w:after="240"/>
              <w:ind w:left="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2. K. Dunbabin, </w:t>
            </w:r>
            <w:r w:rsidRPr="008F6436">
              <w:rPr>
                <w:rFonts w:ascii="Times New Roman" w:hAnsi="Times New Roman" w:cs="Times New Roman"/>
                <w:i/>
                <w:color w:val="000000" w:themeColor="text1"/>
                <w:sz w:val="18"/>
                <w:szCs w:val="18"/>
              </w:rPr>
              <w:t>The mosaics of Roman Africa</w:t>
            </w:r>
            <w:r w:rsidRPr="008F6436">
              <w:rPr>
                <w:rFonts w:ascii="Times New Roman" w:hAnsi="Times New Roman" w:cs="Times New Roman"/>
                <w:color w:val="000000" w:themeColor="text1"/>
                <w:sz w:val="18"/>
                <w:szCs w:val="18"/>
              </w:rPr>
              <w:t>, Oxford 1978</w:t>
            </w:r>
          </w:p>
          <w:p w:rsidR="008F6436" w:rsidRPr="008F6436" w:rsidRDefault="008F6436" w:rsidP="008F6436">
            <w:pPr>
              <w:pStyle w:val="Akapitzlist"/>
              <w:numPr>
                <w:ilvl w:val="0"/>
                <w:numId w:val="6"/>
              </w:numPr>
              <w:tabs>
                <w:tab w:val="left" w:pos="317"/>
              </w:tabs>
              <w:spacing w:after="240"/>
              <w:ind w:left="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 xml:space="preserve">3. N. Ferchiou, </w:t>
            </w:r>
            <w:r w:rsidRPr="008F6436">
              <w:rPr>
                <w:rFonts w:ascii="Times New Roman" w:hAnsi="Times New Roman" w:cs="Times New Roman"/>
                <w:i/>
                <w:color w:val="000000" w:themeColor="text1"/>
                <w:sz w:val="18"/>
                <w:szCs w:val="18"/>
              </w:rPr>
              <w:t>Décor architectonique d’Afrique Proconsulaire</w:t>
            </w:r>
            <w:r w:rsidRPr="008F6436">
              <w:rPr>
                <w:rFonts w:ascii="Times New Roman" w:hAnsi="Times New Roman" w:cs="Times New Roman"/>
                <w:color w:val="000000" w:themeColor="text1"/>
                <w:sz w:val="18"/>
                <w:szCs w:val="18"/>
              </w:rPr>
              <w:t>, vol. 1-2, 1989</w:t>
            </w:r>
          </w:p>
          <w:p w:rsidR="008F6436" w:rsidRPr="008F6436" w:rsidRDefault="008F6436" w:rsidP="008F6436">
            <w:pPr>
              <w:pStyle w:val="Akapitzlist"/>
              <w:numPr>
                <w:ilvl w:val="0"/>
                <w:numId w:val="6"/>
              </w:numPr>
              <w:tabs>
                <w:tab w:val="left" w:pos="317"/>
              </w:tabs>
              <w:spacing w:after="240"/>
              <w:ind w:left="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4. N. Ferchiou, </w:t>
            </w:r>
            <w:r w:rsidRPr="008F6436">
              <w:rPr>
                <w:rFonts w:ascii="Times New Roman" w:hAnsi="Times New Roman" w:cs="Times New Roman"/>
                <w:i/>
                <w:color w:val="000000" w:themeColor="text1"/>
                <w:sz w:val="18"/>
                <w:szCs w:val="18"/>
              </w:rPr>
              <w:t>Répertoire décoratif de l'Afrique proconsulaire : deux thèmes répandus sur la côte, leur évolution et leur diffusion</w:t>
            </w:r>
            <w:r w:rsidRPr="008F6436">
              <w:rPr>
                <w:rFonts w:ascii="Times New Roman" w:hAnsi="Times New Roman" w:cs="Times New Roman"/>
                <w:color w:val="000000" w:themeColor="text1"/>
                <w:sz w:val="18"/>
                <w:szCs w:val="18"/>
              </w:rPr>
              <w:t xml:space="preserve">, AA 1989, 115-133 </w:t>
            </w:r>
          </w:p>
          <w:p w:rsidR="008F6436" w:rsidRPr="008F6436" w:rsidRDefault="008F6436" w:rsidP="008F6436">
            <w:pPr>
              <w:pStyle w:val="Akapitzlist"/>
              <w:numPr>
                <w:ilvl w:val="0"/>
                <w:numId w:val="6"/>
              </w:numPr>
              <w:tabs>
                <w:tab w:val="left" w:pos="317"/>
              </w:tabs>
              <w:spacing w:after="240"/>
              <w:ind w:left="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5. M. Carucci, </w:t>
            </w:r>
            <w:r w:rsidRPr="008F6436">
              <w:rPr>
                <w:rFonts w:ascii="Times New Roman" w:hAnsi="Times New Roman" w:cs="Times New Roman"/>
                <w:i/>
                <w:color w:val="000000" w:themeColor="text1"/>
                <w:sz w:val="18"/>
                <w:szCs w:val="18"/>
              </w:rPr>
              <w:t>The Romano-African domus</w:t>
            </w:r>
            <w:r w:rsidRPr="008F6436">
              <w:rPr>
                <w:rFonts w:ascii="Times New Roman" w:hAnsi="Times New Roman" w:cs="Times New Roman"/>
                <w:color w:val="000000" w:themeColor="text1"/>
                <w:sz w:val="18"/>
                <w:szCs w:val="18"/>
              </w:rPr>
              <w:t>, Oxford 2007</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7.</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Późny antyk w Afryce Północnej (wykład) </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 xml:space="preserve">Late Antiquity in North Africa </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Poznanie i zrozumienie charakteru zmian cywilizacyjnych i  kulturowych w okresie późnego antyku i po upadku cywilizacji rzymskiej: transformacja i pauperyzacja miast ; przenikanie się środowiska miejskiego i wiejskiego; rozwój produkcji rolniczej w miastach; osadnictwo w okresie islamskim; zmiany kulturowe i społeczne jako konsekwencja zmian politycznych i administracyjnych. </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pStyle w:val="Akapitzlist"/>
              <w:widowControl w:val="0"/>
              <w:tabs>
                <w:tab w:val="left" w:pos="317"/>
              </w:tabs>
              <w:autoSpaceDE w:val="0"/>
              <w:autoSpaceDN w:val="0"/>
              <w:adjustRightInd w:val="0"/>
              <w:spacing w:after="240"/>
              <w:ind w:left="34"/>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Lecture (with presentation) suplemented by reading  selected chapters from following books:</w:t>
            </w:r>
          </w:p>
          <w:p w:rsidR="008F6436" w:rsidRPr="008F6436" w:rsidRDefault="008F6436" w:rsidP="00397E22">
            <w:pPr>
              <w:pStyle w:val="Akapitzlist"/>
              <w:widowControl w:val="0"/>
              <w:numPr>
                <w:ilvl w:val="0"/>
                <w:numId w:val="7"/>
              </w:numPr>
              <w:tabs>
                <w:tab w:val="left" w:pos="0"/>
                <w:tab w:val="left" w:pos="317"/>
              </w:tabs>
              <w:autoSpaceDE w:val="0"/>
              <w:autoSpaceDN w:val="0"/>
              <w:adjustRightInd w:val="0"/>
              <w:spacing w:after="240"/>
              <w:ind w:left="0" w:firstLine="34"/>
              <w:jc w:val="both"/>
              <w:rPr>
                <w:rFonts w:ascii="Times New Roman" w:eastAsiaTheme="minorHAnsi" w:hAnsi="Times New Roman" w:cs="Times New Roman"/>
                <w:i/>
                <w:iCs/>
                <w:color w:val="000000" w:themeColor="text1"/>
                <w:sz w:val="18"/>
                <w:szCs w:val="18"/>
                <w:lang w:val="en-US" w:eastAsia="en-US"/>
              </w:rPr>
            </w:pPr>
            <w:r w:rsidRPr="008F6436">
              <w:rPr>
                <w:rFonts w:ascii="Times New Roman" w:eastAsiaTheme="minorHAnsi" w:hAnsi="Times New Roman" w:cs="Times New Roman"/>
                <w:bCs/>
                <w:color w:val="000000" w:themeColor="text1"/>
                <w:sz w:val="18"/>
                <w:szCs w:val="18"/>
                <w:lang w:val="en-GB" w:eastAsia="en-US"/>
              </w:rPr>
              <w:t xml:space="preserve">A. Leone, </w:t>
            </w:r>
            <w:r w:rsidRPr="008F6436">
              <w:rPr>
                <w:rFonts w:ascii="Times New Roman" w:eastAsiaTheme="minorHAnsi" w:hAnsi="Times New Roman" w:cs="Times New Roman"/>
                <w:bCs/>
                <w:i/>
                <w:color w:val="000000" w:themeColor="text1"/>
                <w:sz w:val="18"/>
                <w:szCs w:val="18"/>
                <w:lang w:val="en-GB" w:eastAsia="en-US"/>
              </w:rPr>
              <w:t xml:space="preserve">Late Antique North </w:t>
            </w:r>
            <w:proofErr w:type="spellStart"/>
            <w:r w:rsidRPr="008F6436">
              <w:rPr>
                <w:rFonts w:ascii="Times New Roman" w:eastAsiaTheme="minorHAnsi" w:hAnsi="Times New Roman" w:cs="Times New Roman"/>
                <w:bCs/>
                <w:i/>
                <w:color w:val="000000" w:themeColor="text1"/>
                <w:sz w:val="18"/>
                <w:szCs w:val="18"/>
                <w:lang w:val="en-GB" w:eastAsia="en-US"/>
              </w:rPr>
              <w:t>Afric</w:t>
            </w:r>
            <w:proofErr w:type="spellEnd"/>
            <w:r w:rsidRPr="008F6436">
              <w:rPr>
                <w:rFonts w:ascii="Times New Roman" w:eastAsiaTheme="minorHAnsi" w:hAnsi="Times New Roman" w:cs="Times New Roman"/>
                <w:bCs/>
                <w:i/>
                <w:color w:val="000000" w:themeColor="text1"/>
                <w:sz w:val="18"/>
                <w:szCs w:val="18"/>
                <w:lang w:val="en-US" w:eastAsia="en-US"/>
              </w:rPr>
              <w:t>a: Production and Changing Use of Buildings in Urban Areas</w:t>
            </w:r>
            <w:r w:rsidRPr="008F6436">
              <w:rPr>
                <w:rFonts w:ascii="Times New Roman" w:eastAsiaTheme="minorHAnsi" w:hAnsi="Times New Roman" w:cs="Times New Roman"/>
                <w:bCs/>
                <w:color w:val="000000" w:themeColor="text1"/>
                <w:sz w:val="18"/>
                <w:szCs w:val="18"/>
                <w:lang w:val="en-US" w:eastAsia="en-US"/>
              </w:rPr>
              <w:t xml:space="preserve">, </w:t>
            </w:r>
            <w:r w:rsidRPr="008F6436">
              <w:rPr>
                <w:rFonts w:ascii="Times New Roman" w:eastAsiaTheme="minorHAnsi" w:hAnsi="Times New Roman" w:cs="Times New Roman"/>
                <w:iCs/>
                <w:color w:val="000000" w:themeColor="text1"/>
                <w:sz w:val="18"/>
                <w:szCs w:val="18"/>
                <w:lang w:val="en-US" w:eastAsia="en-US"/>
              </w:rPr>
              <w:t>Al-Masa ̄q, 15, No. 1, March 2003, 21-33</w:t>
            </w:r>
          </w:p>
          <w:p w:rsidR="008F6436" w:rsidRPr="008F6436" w:rsidRDefault="008F6436" w:rsidP="00397E22">
            <w:pPr>
              <w:pStyle w:val="Akapitzlist"/>
              <w:widowControl w:val="0"/>
              <w:numPr>
                <w:ilvl w:val="0"/>
                <w:numId w:val="7"/>
              </w:numPr>
              <w:tabs>
                <w:tab w:val="left" w:pos="317"/>
              </w:tabs>
              <w:autoSpaceDE w:val="0"/>
              <w:autoSpaceDN w:val="0"/>
              <w:adjustRightInd w:val="0"/>
              <w:spacing w:after="240"/>
              <w:ind w:left="34" w:hanging="34"/>
              <w:jc w:val="both"/>
              <w:rPr>
                <w:rFonts w:ascii="Times New Roman" w:eastAsiaTheme="minorHAnsi" w:hAnsi="Times New Roman" w:cs="Times New Roman"/>
                <w:i/>
                <w:iCs/>
                <w:color w:val="000000" w:themeColor="text1"/>
                <w:sz w:val="18"/>
                <w:szCs w:val="18"/>
                <w:lang w:val="en-US" w:eastAsia="en-US"/>
              </w:rPr>
            </w:pPr>
            <w:r w:rsidRPr="008F6436">
              <w:rPr>
                <w:rFonts w:ascii="Times New Roman" w:eastAsia="Times New Roman" w:hAnsi="Times New Roman" w:cs="Times New Roman"/>
                <w:bCs/>
                <w:i/>
                <w:color w:val="000000" w:themeColor="text1"/>
                <w:kern w:val="36"/>
                <w:sz w:val="18"/>
                <w:szCs w:val="18"/>
              </w:rPr>
              <w:t>North Africa under Byzantium and Early Islam</w:t>
            </w:r>
            <w:r w:rsidRPr="008F6436">
              <w:rPr>
                <w:rFonts w:ascii="Times New Roman" w:eastAsia="Times New Roman" w:hAnsi="Times New Roman" w:cs="Times New Roman"/>
                <w:bCs/>
                <w:color w:val="000000" w:themeColor="text1"/>
                <w:kern w:val="36"/>
                <w:sz w:val="18"/>
                <w:szCs w:val="18"/>
              </w:rPr>
              <w:t>. S. T. Stevens, J. P. Conant . Cambridge 2016</w:t>
            </w:r>
          </w:p>
          <w:p w:rsidR="008F6436" w:rsidRPr="008F6436" w:rsidRDefault="008F6436" w:rsidP="00397E22">
            <w:pPr>
              <w:pStyle w:val="Akapitzlist"/>
              <w:widowControl w:val="0"/>
              <w:numPr>
                <w:ilvl w:val="0"/>
                <w:numId w:val="7"/>
              </w:numPr>
              <w:tabs>
                <w:tab w:val="left" w:pos="317"/>
              </w:tabs>
              <w:autoSpaceDE w:val="0"/>
              <w:autoSpaceDN w:val="0"/>
              <w:adjustRightInd w:val="0"/>
              <w:spacing w:after="240"/>
              <w:ind w:left="34" w:hanging="34"/>
              <w:jc w:val="both"/>
              <w:rPr>
                <w:rFonts w:ascii="Times New Roman" w:eastAsiaTheme="minorHAnsi" w:hAnsi="Times New Roman" w:cs="Times New Roman"/>
                <w:i/>
                <w:iCs/>
                <w:color w:val="000000" w:themeColor="text1"/>
                <w:sz w:val="18"/>
                <w:szCs w:val="18"/>
                <w:lang w:val="en-US" w:eastAsia="en-US"/>
              </w:rPr>
            </w:pPr>
            <w:r w:rsidRPr="008F6436">
              <w:rPr>
                <w:rFonts w:ascii="Times New Roman" w:eastAsia="Times New Roman" w:hAnsi="Times New Roman" w:cs="Times New Roman"/>
                <w:bCs/>
                <w:color w:val="000000" w:themeColor="text1"/>
                <w:kern w:val="36"/>
                <w:sz w:val="18"/>
                <w:szCs w:val="18"/>
              </w:rPr>
              <w:t xml:space="preserve">G. Sears, </w:t>
            </w:r>
            <w:r w:rsidRPr="008F6436">
              <w:rPr>
                <w:rFonts w:ascii="Times New Roman" w:eastAsia="Times New Roman" w:hAnsi="Times New Roman" w:cs="Times New Roman"/>
                <w:bCs/>
                <w:i/>
                <w:color w:val="000000" w:themeColor="text1"/>
                <w:kern w:val="36"/>
                <w:sz w:val="18"/>
                <w:szCs w:val="18"/>
              </w:rPr>
              <w:t>Late Roman Urbanism</w:t>
            </w:r>
            <w:r w:rsidRPr="008F6436">
              <w:rPr>
                <w:rFonts w:ascii="Times New Roman" w:eastAsia="Times New Roman" w:hAnsi="Times New Roman" w:cs="Times New Roman"/>
                <w:bCs/>
                <w:color w:val="000000" w:themeColor="text1"/>
                <w:kern w:val="36"/>
                <w:sz w:val="18"/>
                <w:szCs w:val="18"/>
              </w:rPr>
              <w:t>, Oxford 2007</w:t>
            </w:r>
          </w:p>
          <w:p w:rsidR="008F6436" w:rsidRPr="008F6436" w:rsidRDefault="008F6436" w:rsidP="00397E22">
            <w:pPr>
              <w:pStyle w:val="Akapitzlist"/>
              <w:widowControl w:val="0"/>
              <w:numPr>
                <w:ilvl w:val="0"/>
                <w:numId w:val="7"/>
              </w:numPr>
              <w:tabs>
                <w:tab w:val="left" w:pos="317"/>
              </w:tabs>
              <w:autoSpaceDE w:val="0"/>
              <w:autoSpaceDN w:val="0"/>
              <w:adjustRightInd w:val="0"/>
              <w:spacing w:after="240"/>
              <w:ind w:left="34" w:hanging="34"/>
              <w:jc w:val="both"/>
              <w:rPr>
                <w:rFonts w:ascii="Times New Roman" w:eastAsiaTheme="minorHAnsi" w:hAnsi="Times New Roman" w:cs="Times New Roman"/>
                <w:i/>
                <w:iCs/>
                <w:color w:val="000000" w:themeColor="text1"/>
                <w:sz w:val="18"/>
                <w:szCs w:val="18"/>
                <w:lang w:val="pl-PL" w:eastAsia="en-US"/>
              </w:rPr>
            </w:pPr>
            <w:r w:rsidRPr="008F6436">
              <w:rPr>
                <w:rFonts w:ascii="Times New Roman" w:eastAsia="Times New Roman" w:hAnsi="Times New Roman" w:cs="Times New Roman"/>
                <w:bCs/>
                <w:i/>
                <w:color w:val="000000" w:themeColor="text1"/>
                <w:kern w:val="36"/>
                <w:sz w:val="18"/>
                <w:szCs w:val="18"/>
                <w:lang w:val="pl-PL"/>
              </w:rPr>
              <w:t>Vademecum historyka starożytnej Grecji i Rzymu</w:t>
            </w:r>
            <w:r w:rsidRPr="008F6436">
              <w:rPr>
                <w:rFonts w:ascii="Times New Roman" w:eastAsia="Times New Roman" w:hAnsi="Times New Roman" w:cs="Times New Roman"/>
                <w:bCs/>
                <w:color w:val="000000" w:themeColor="text1"/>
                <w:kern w:val="36"/>
                <w:sz w:val="18"/>
                <w:szCs w:val="18"/>
                <w:lang w:val="pl-PL"/>
              </w:rPr>
              <w:t xml:space="preserve">, vol. 3, </w:t>
            </w:r>
            <w:r w:rsidRPr="008F6436">
              <w:rPr>
                <w:rFonts w:ascii="Times New Roman" w:eastAsia="Times New Roman" w:hAnsi="Times New Roman" w:cs="Times New Roman"/>
                <w:bCs/>
                <w:i/>
                <w:color w:val="000000" w:themeColor="text1"/>
                <w:kern w:val="36"/>
                <w:sz w:val="18"/>
                <w:szCs w:val="18"/>
                <w:lang w:val="pl-PL"/>
              </w:rPr>
              <w:t>Źródłoznawstwo czasów późnego Antyku</w:t>
            </w:r>
            <w:r w:rsidRPr="008F6436">
              <w:rPr>
                <w:rFonts w:ascii="Times New Roman" w:eastAsia="Times New Roman" w:hAnsi="Times New Roman" w:cs="Times New Roman"/>
                <w:bCs/>
                <w:color w:val="000000" w:themeColor="text1"/>
                <w:kern w:val="36"/>
                <w:sz w:val="18"/>
                <w:szCs w:val="18"/>
                <w:lang w:val="pl-PL"/>
              </w:rPr>
              <w:t xml:space="preserve">, E. </w:t>
            </w:r>
            <w:proofErr w:type="spellStart"/>
            <w:r w:rsidRPr="008F6436">
              <w:rPr>
                <w:rFonts w:ascii="Times New Roman" w:eastAsia="Times New Roman" w:hAnsi="Times New Roman" w:cs="Times New Roman"/>
                <w:bCs/>
                <w:color w:val="000000" w:themeColor="text1"/>
                <w:kern w:val="36"/>
                <w:sz w:val="18"/>
                <w:szCs w:val="18"/>
                <w:lang w:val="pl-PL"/>
              </w:rPr>
              <w:t>Wipszycka</w:t>
            </w:r>
            <w:proofErr w:type="spellEnd"/>
            <w:r w:rsidRPr="008F6436">
              <w:rPr>
                <w:rFonts w:ascii="Times New Roman" w:eastAsia="Times New Roman" w:hAnsi="Times New Roman" w:cs="Times New Roman"/>
                <w:bCs/>
                <w:color w:val="000000" w:themeColor="text1"/>
                <w:kern w:val="36"/>
                <w:sz w:val="18"/>
                <w:szCs w:val="18"/>
                <w:lang w:val="pl-PL"/>
              </w:rPr>
              <w:t xml:space="preserve"> ed., Warszawa 1999</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8. </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Wieś i gospodarka Afryki Północnej w okre-sie rzymskim i późnoantycznym </w:t>
            </w:r>
            <w:r w:rsidRPr="008F6436">
              <w:rPr>
                <w:rFonts w:ascii="Times New Roman" w:hAnsi="Times New Roman" w:cs="Times New Roman"/>
                <w:i/>
                <w:color w:val="000000" w:themeColor="text1"/>
                <w:sz w:val="18"/>
                <w:szCs w:val="18"/>
              </w:rPr>
              <w:t xml:space="preserve">Countryside and econo-my in Roman and Late Roman periods. </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Poznanie wiejskiego zaplecza miast i miejsc produkcji rolniczej w Afryce Północnej; zrozumienie charakteru produkcji rolnej w Afryce Północnej w aspekcie historycznym (od drobnych farm przez rozwój wielkich latynfundiów po ich upadek w okresie kryzysu);  zrozumienie rodzaju ekonomicznych interakcji między miastem i wsią.</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Wykład (z prezentacją) uzupełniony lekturą wybranych rozdziałów:</w:t>
            </w:r>
          </w:p>
          <w:p w:rsidR="008F6436" w:rsidRPr="008F6436" w:rsidRDefault="008F6436" w:rsidP="008F6436">
            <w:pPr>
              <w:pStyle w:val="Akapitzlist"/>
              <w:numPr>
                <w:ilvl w:val="0"/>
                <w:numId w:val="8"/>
              </w:numPr>
              <w:tabs>
                <w:tab w:val="left" w:pos="317"/>
              </w:tabs>
              <w:spacing w:after="240"/>
              <w:ind w:left="34" w:hanging="34"/>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T. Kotula, </w:t>
            </w:r>
            <w:r w:rsidRPr="008F6436">
              <w:rPr>
                <w:rFonts w:ascii="Times New Roman" w:eastAsia="Times New Roman" w:hAnsi="Times New Roman" w:cs="Times New Roman"/>
                <w:bCs/>
                <w:i/>
                <w:color w:val="000000" w:themeColor="text1"/>
                <w:sz w:val="18"/>
                <w:szCs w:val="18"/>
              </w:rPr>
              <w:t>Afryka Północna w starożytności</w:t>
            </w:r>
            <w:r w:rsidRPr="008F6436">
              <w:rPr>
                <w:rFonts w:ascii="Times New Roman" w:eastAsia="Times New Roman" w:hAnsi="Times New Roman" w:cs="Times New Roman"/>
                <w:bCs/>
                <w:color w:val="000000" w:themeColor="text1"/>
                <w:sz w:val="18"/>
                <w:szCs w:val="18"/>
              </w:rPr>
              <w:t>, Wrocław-Warszawa-Kraków 1972</w:t>
            </w:r>
          </w:p>
          <w:p w:rsidR="008F6436" w:rsidRPr="008F6436" w:rsidRDefault="008F6436" w:rsidP="008F6436">
            <w:pPr>
              <w:pStyle w:val="Akapitzlist"/>
              <w:numPr>
                <w:ilvl w:val="0"/>
                <w:numId w:val="8"/>
              </w:numPr>
              <w:tabs>
                <w:tab w:val="left" w:pos="34"/>
                <w:tab w:val="left" w:pos="317"/>
              </w:tabs>
              <w:spacing w:after="240"/>
              <w:ind w:left="34" w:firstLine="0"/>
              <w:jc w:val="both"/>
              <w:rPr>
                <w:rStyle w:val="st"/>
                <w:rFonts w:eastAsia="Times New Roman"/>
                <w:sz w:val="18"/>
                <w:szCs w:val="18"/>
              </w:rPr>
            </w:pPr>
            <w:r w:rsidRPr="008F6436">
              <w:rPr>
                <w:rStyle w:val="st"/>
                <w:rFonts w:ascii="Times New Roman" w:eastAsia="Times New Roman" w:hAnsi="Times New Roman" w:cs="Times New Roman"/>
                <w:color w:val="000000" w:themeColor="text1"/>
                <w:sz w:val="18"/>
                <w:szCs w:val="18"/>
                <w:lang w:val="en-GB"/>
              </w:rPr>
              <w:t>C</w:t>
            </w:r>
            <w:r w:rsidRPr="008F6436">
              <w:rPr>
                <w:rStyle w:val="st"/>
                <w:rFonts w:ascii="Times New Roman" w:eastAsia="Times New Roman" w:hAnsi="Times New Roman" w:cs="Times New Roman"/>
                <w:i/>
                <w:color w:val="000000" w:themeColor="text1"/>
                <w:sz w:val="18"/>
                <w:szCs w:val="18"/>
                <w:lang w:val="en-GB"/>
              </w:rPr>
              <w:t xml:space="preserve">. </w:t>
            </w:r>
            <w:proofErr w:type="spellStart"/>
            <w:r w:rsidRPr="008F6436">
              <w:rPr>
                <w:rStyle w:val="Uwydatnienie"/>
                <w:rFonts w:eastAsia="Times New Roman"/>
                <w:i w:val="0"/>
                <w:color w:val="000000" w:themeColor="text1"/>
                <w:sz w:val="18"/>
                <w:szCs w:val="18"/>
                <w:lang w:val="en-GB"/>
              </w:rPr>
              <w:t>Lepelley</w:t>
            </w:r>
            <w:proofErr w:type="spellEnd"/>
            <w:r w:rsidRPr="008F6436">
              <w:rPr>
                <w:rStyle w:val="st"/>
                <w:rFonts w:ascii="Times New Roman" w:eastAsia="Times New Roman" w:hAnsi="Times New Roman" w:cs="Times New Roman"/>
                <w:color w:val="000000" w:themeColor="text1"/>
                <w:sz w:val="18"/>
                <w:szCs w:val="18"/>
                <w:lang w:val="en-GB"/>
              </w:rPr>
              <w:t xml:space="preserve">, </w:t>
            </w:r>
            <w:r w:rsidRPr="008F6436">
              <w:rPr>
                <w:rStyle w:val="Uwydatnienie"/>
                <w:rFonts w:eastAsia="Times New Roman"/>
                <w:color w:val="000000" w:themeColor="text1"/>
                <w:sz w:val="18"/>
                <w:szCs w:val="18"/>
                <w:lang w:val="en-GB"/>
              </w:rPr>
              <w:t xml:space="preserve">Aspects de </w:t>
            </w:r>
            <w:proofErr w:type="spellStart"/>
            <w:r w:rsidRPr="008F6436">
              <w:rPr>
                <w:rStyle w:val="Uwydatnienie"/>
                <w:rFonts w:eastAsia="Times New Roman"/>
                <w:color w:val="000000" w:themeColor="text1"/>
                <w:sz w:val="18"/>
                <w:szCs w:val="18"/>
                <w:lang w:val="en-GB"/>
              </w:rPr>
              <w:t>l'Afrique</w:t>
            </w:r>
            <w:proofErr w:type="spellEnd"/>
            <w:r w:rsidRPr="008F6436">
              <w:rPr>
                <w:rStyle w:val="Uwydatnienie"/>
                <w:rFonts w:eastAsia="Times New Roman"/>
                <w:color w:val="000000" w:themeColor="text1"/>
                <w:sz w:val="18"/>
                <w:szCs w:val="18"/>
                <w:lang w:val="en-GB"/>
              </w:rPr>
              <w:t xml:space="preserve"> romaine</w:t>
            </w:r>
            <w:r w:rsidRPr="008F6436">
              <w:rPr>
                <w:rStyle w:val="st"/>
                <w:rFonts w:ascii="Times New Roman" w:eastAsia="Times New Roman" w:hAnsi="Times New Roman" w:cs="Times New Roman"/>
                <w:color w:val="000000" w:themeColor="text1"/>
                <w:sz w:val="18"/>
                <w:szCs w:val="18"/>
                <w:lang w:val="en-GB"/>
              </w:rPr>
              <w:t xml:space="preserve">: </w:t>
            </w:r>
            <w:r w:rsidRPr="008F6436">
              <w:rPr>
                <w:rStyle w:val="st"/>
                <w:rFonts w:ascii="Times New Roman" w:eastAsia="Times New Roman" w:hAnsi="Times New Roman" w:cs="Times New Roman"/>
                <w:i/>
                <w:color w:val="000000" w:themeColor="text1"/>
                <w:sz w:val="18"/>
                <w:szCs w:val="18"/>
                <w:lang w:val="en-GB"/>
              </w:rPr>
              <w:t xml:space="preserve">Les </w:t>
            </w:r>
            <w:proofErr w:type="spellStart"/>
            <w:r w:rsidRPr="008F6436">
              <w:rPr>
                <w:rStyle w:val="st"/>
                <w:rFonts w:ascii="Times New Roman" w:eastAsia="Times New Roman" w:hAnsi="Times New Roman" w:cs="Times New Roman"/>
                <w:i/>
                <w:color w:val="000000" w:themeColor="text1"/>
                <w:sz w:val="18"/>
                <w:szCs w:val="18"/>
                <w:lang w:val="en-GB"/>
              </w:rPr>
              <w:t>cités</w:t>
            </w:r>
            <w:proofErr w:type="spellEnd"/>
            <w:r w:rsidRPr="008F6436">
              <w:rPr>
                <w:rStyle w:val="st"/>
                <w:rFonts w:ascii="Times New Roman" w:eastAsia="Times New Roman" w:hAnsi="Times New Roman" w:cs="Times New Roman"/>
                <w:i/>
                <w:color w:val="000000" w:themeColor="text1"/>
                <w:sz w:val="18"/>
                <w:szCs w:val="18"/>
                <w:lang w:val="en-GB"/>
              </w:rPr>
              <w:t xml:space="preserve">, la vie </w:t>
            </w:r>
            <w:proofErr w:type="spellStart"/>
            <w:r w:rsidRPr="008F6436">
              <w:rPr>
                <w:rStyle w:val="st"/>
                <w:rFonts w:ascii="Times New Roman" w:eastAsia="Times New Roman" w:hAnsi="Times New Roman" w:cs="Times New Roman"/>
                <w:i/>
                <w:color w:val="000000" w:themeColor="text1"/>
                <w:sz w:val="18"/>
                <w:szCs w:val="18"/>
                <w:lang w:val="en-GB"/>
              </w:rPr>
              <w:t>rurale</w:t>
            </w:r>
            <w:proofErr w:type="spellEnd"/>
            <w:r w:rsidRPr="008F6436">
              <w:rPr>
                <w:rStyle w:val="st"/>
                <w:rFonts w:ascii="Times New Roman" w:eastAsia="Times New Roman" w:hAnsi="Times New Roman" w:cs="Times New Roman"/>
                <w:i/>
                <w:color w:val="000000" w:themeColor="text1"/>
                <w:sz w:val="18"/>
                <w:szCs w:val="18"/>
                <w:lang w:val="en-GB"/>
              </w:rPr>
              <w:t xml:space="preserve">, le </w:t>
            </w:r>
            <w:proofErr w:type="spellStart"/>
            <w:r w:rsidRPr="008F6436">
              <w:rPr>
                <w:rStyle w:val="st"/>
                <w:rFonts w:ascii="Times New Roman" w:eastAsia="Times New Roman" w:hAnsi="Times New Roman" w:cs="Times New Roman"/>
                <w:i/>
                <w:color w:val="000000" w:themeColor="text1"/>
                <w:sz w:val="18"/>
                <w:szCs w:val="18"/>
                <w:lang w:val="en-GB"/>
              </w:rPr>
              <w:t>Christianisme</w:t>
            </w:r>
            <w:proofErr w:type="spellEnd"/>
            <w:r w:rsidRPr="008F6436">
              <w:rPr>
                <w:rStyle w:val="st"/>
                <w:rFonts w:ascii="Times New Roman" w:eastAsia="Times New Roman" w:hAnsi="Times New Roman" w:cs="Times New Roman"/>
                <w:color w:val="000000" w:themeColor="text1"/>
                <w:sz w:val="18"/>
                <w:szCs w:val="18"/>
                <w:lang w:val="en-GB"/>
              </w:rPr>
              <w:t xml:space="preserve">, Paris 2001  </w:t>
            </w:r>
          </w:p>
          <w:p w:rsidR="008F6436" w:rsidRPr="008F6436" w:rsidRDefault="008F6436" w:rsidP="008F6436">
            <w:pPr>
              <w:pStyle w:val="Akapitzlist"/>
              <w:numPr>
                <w:ilvl w:val="0"/>
                <w:numId w:val="8"/>
              </w:numPr>
              <w:tabs>
                <w:tab w:val="left" w:pos="34"/>
                <w:tab w:val="left" w:pos="317"/>
              </w:tabs>
              <w:spacing w:after="240"/>
              <w:ind w:left="34" w:firstLine="0"/>
              <w:jc w:val="both"/>
              <w:rPr>
                <w:sz w:val="18"/>
                <w:szCs w:val="18"/>
              </w:rPr>
            </w:pPr>
            <w:r w:rsidRPr="008F6436">
              <w:rPr>
                <w:rStyle w:val="st"/>
                <w:rFonts w:ascii="Times New Roman" w:eastAsia="Times New Roman" w:hAnsi="Times New Roman" w:cs="Times New Roman"/>
                <w:i/>
                <w:color w:val="000000" w:themeColor="text1"/>
                <w:sz w:val="18"/>
                <w:szCs w:val="18"/>
              </w:rPr>
              <w:t>Recent Research on the Late Antique Countryside</w:t>
            </w:r>
            <w:r w:rsidRPr="008F6436">
              <w:rPr>
                <w:rStyle w:val="st"/>
                <w:rFonts w:ascii="Times New Roman" w:eastAsia="Times New Roman" w:hAnsi="Times New Roman" w:cs="Times New Roman"/>
                <w:color w:val="000000" w:themeColor="text1"/>
                <w:sz w:val="18"/>
                <w:szCs w:val="18"/>
              </w:rPr>
              <w:t xml:space="preserve">, </w:t>
            </w:r>
            <w:r w:rsidRPr="008F6436">
              <w:rPr>
                <w:rStyle w:val="st"/>
                <w:rFonts w:ascii="Times New Roman" w:eastAsia="Times New Roman" w:hAnsi="Times New Roman" w:cs="Times New Roman"/>
                <w:color w:val="000000" w:themeColor="text1"/>
                <w:sz w:val="18"/>
                <w:szCs w:val="18"/>
                <w:lang w:val="en-GB"/>
              </w:rPr>
              <w:t xml:space="preserve">W. Bowden, L. </w:t>
            </w:r>
            <w:proofErr w:type="spellStart"/>
            <w:r w:rsidRPr="008F6436">
              <w:rPr>
                <w:rStyle w:val="st"/>
                <w:rFonts w:ascii="Times New Roman" w:eastAsia="Times New Roman" w:hAnsi="Times New Roman" w:cs="Times New Roman"/>
                <w:color w:val="000000" w:themeColor="text1"/>
                <w:sz w:val="18"/>
                <w:szCs w:val="18"/>
                <w:lang w:val="en-GB"/>
              </w:rPr>
              <w:t>Lavan</w:t>
            </w:r>
            <w:proofErr w:type="spellEnd"/>
            <w:r w:rsidRPr="008F6436">
              <w:rPr>
                <w:rStyle w:val="st"/>
                <w:rFonts w:ascii="Times New Roman" w:eastAsia="Times New Roman" w:hAnsi="Times New Roman" w:cs="Times New Roman"/>
                <w:color w:val="000000" w:themeColor="text1"/>
                <w:sz w:val="18"/>
                <w:szCs w:val="18"/>
                <w:lang w:val="en-GB"/>
              </w:rPr>
              <w:t>, C. Machado eds, Leiden and Boston 2004</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9.</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Wprowadzenie do kultury i języka arabskiego.</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lastRenderedPageBreak/>
              <w:t>Arabic culture and language – an introduc-tion</w:t>
            </w:r>
          </w:p>
        </w:tc>
        <w:tc>
          <w:tcPr>
            <w:tcW w:w="668" w:type="pct"/>
            <w:tcBorders>
              <w:top w:val="single" w:sz="4" w:space="0" w:color="auto"/>
              <w:left w:val="single" w:sz="4" w:space="0" w:color="auto"/>
              <w:bottom w:val="single" w:sz="4" w:space="0" w:color="auto"/>
              <w:right w:val="single" w:sz="4" w:space="0" w:color="auto"/>
            </w:tcBorders>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konwersatorium</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(10 godzin)</w:t>
            </w:r>
          </w:p>
          <w:p w:rsidR="008F6436" w:rsidRPr="008F6436" w:rsidRDefault="008F6436">
            <w:pPr>
              <w:spacing w:after="240"/>
              <w:jc w:val="both"/>
              <w:rPr>
                <w:rFonts w:ascii="Times New Roman" w:hAnsi="Times New Roman" w:cs="Times New Roman"/>
                <w:color w:val="000000" w:themeColor="text1"/>
                <w:sz w:val="18"/>
                <w:szCs w:val="18"/>
              </w:rPr>
            </w:pP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 xml:space="preserve">Poznanie podstaw języka arabskiego (alfabet, zastosowanie cyfr, sposób wymowy); podstawowe słownictwa </w:t>
            </w:r>
            <w:r w:rsidRPr="008F6436">
              <w:rPr>
                <w:rFonts w:ascii="Times New Roman" w:hAnsi="Times New Roman" w:cs="Times New Roman"/>
                <w:color w:val="000000" w:themeColor="text1"/>
                <w:sz w:val="18"/>
                <w:szCs w:val="18"/>
              </w:rPr>
              <w:lastRenderedPageBreak/>
              <w:t>niezbędne w życiu codziennym; poznanie podstaw arabskiej kultury, literatury i dziedzictwa artystycznego od VII wieku po XV w., ze szczególnym uwzględnieniem Afryki Północnej</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Konwersatorium, podczas którego słuchacze poznają zasady zapisu arabskich liter, podejmą próbą ich odczytania i artykulacji wedle zasad prawidłowej wymowy; nauczą się zasad zapisu arabskich cyfr; poznają podstawowe słownictwo związane z życiem codziennym.</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Zostanie przedstawiony zarys historii Arabów, a także ich podstawowe osiągnięcia z dziedziny nauki i sztuki; także przedstawione zasługi cywilizacji arabskiej w zachowaniu spuścizny antycznej (naukowej i literackiej)</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10.</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Podstawy metodyki prowadzenia badań wyko-paliskowych </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 xml:space="preserve">Methodology of the archaeological exploration </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Poznanie tradycyjnych metod prowadzenia badań wykopaliskowych i prac dokumentacyjnych; zrozumienie zależności doboru sposobu eksploracji w zależności od rodzaju stanowiska i stawianych celów do zrealizowania; poznanie specjalistycznej terminologii (angielskojęzycznej) związanej z metodami wykopaliskowymi .</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pStyle w:val="Akapitzlist"/>
              <w:widowControl w:val="0"/>
              <w:tabs>
                <w:tab w:val="left" w:pos="317"/>
              </w:tabs>
              <w:autoSpaceDE w:val="0"/>
              <w:autoSpaceDN w:val="0"/>
              <w:adjustRightInd w:val="0"/>
              <w:spacing w:after="240"/>
              <w:ind w:left="34"/>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Wykład (z prezentacją) uzupełniony lekturą z następujących publikacji:</w:t>
            </w:r>
          </w:p>
          <w:p w:rsidR="008F6436" w:rsidRPr="008F6436" w:rsidRDefault="008F6436">
            <w:pPr>
              <w:pStyle w:val="Akapitzlist"/>
              <w:widowControl w:val="0"/>
              <w:tabs>
                <w:tab w:val="left" w:pos="317"/>
              </w:tabs>
              <w:autoSpaceDE w:val="0"/>
              <w:autoSpaceDN w:val="0"/>
              <w:adjustRightInd w:val="0"/>
              <w:spacing w:after="240"/>
              <w:ind w:left="34"/>
              <w:jc w:val="both"/>
              <w:rPr>
                <w:rFonts w:ascii="Times New Roman" w:hAnsi="Times New Roman" w:cs="Times New Roman"/>
                <w:b/>
                <w:color w:val="000000" w:themeColor="text1"/>
                <w:sz w:val="18"/>
                <w:szCs w:val="18"/>
              </w:rPr>
            </w:pPr>
            <w:r w:rsidRPr="008F6436">
              <w:rPr>
                <w:rFonts w:ascii="Times New Roman" w:hAnsi="Times New Roman" w:cs="Times New Roman"/>
                <w:color w:val="000000" w:themeColor="text1"/>
                <w:sz w:val="18"/>
                <w:szCs w:val="18"/>
              </w:rPr>
              <w:t xml:space="preserve">1. </w:t>
            </w:r>
            <w:r w:rsidRPr="008F6436">
              <w:rPr>
                <w:rFonts w:ascii="Times New Roman" w:hAnsi="Times New Roman" w:cs="Times New Roman"/>
                <w:b/>
                <w:color w:val="000000" w:themeColor="text1"/>
                <w:sz w:val="18"/>
                <w:szCs w:val="18"/>
              </w:rPr>
              <w:t xml:space="preserve">D. Ławecka, </w:t>
            </w:r>
            <w:r w:rsidRPr="008F6436">
              <w:rPr>
                <w:rFonts w:ascii="Times New Roman" w:hAnsi="Times New Roman" w:cs="Times New Roman"/>
                <w:b/>
                <w:i/>
                <w:color w:val="000000" w:themeColor="text1"/>
                <w:sz w:val="18"/>
                <w:szCs w:val="18"/>
              </w:rPr>
              <w:t>Wstęp do archeologi</w:t>
            </w:r>
            <w:r w:rsidRPr="008F6436">
              <w:rPr>
                <w:rFonts w:ascii="Times New Roman" w:hAnsi="Times New Roman" w:cs="Times New Roman"/>
                <w:b/>
                <w:color w:val="000000" w:themeColor="text1"/>
                <w:sz w:val="18"/>
                <w:szCs w:val="18"/>
              </w:rPr>
              <w:t>i, Warszawa 2003</w:t>
            </w:r>
          </w:p>
          <w:p w:rsidR="008F6436" w:rsidRPr="008F6436" w:rsidRDefault="008F6436">
            <w:pPr>
              <w:pStyle w:val="Akapitzlist"/>
              <w:widowControl w:val="0"/>
              <w:tabs>
                <w:tab w:val="left" w:pos="317"/>
              </w:tabs>
              <w:autoSpaceDE w:val="0"/>
              <w:autoSpaceDN w:val="0"/>
              <w:adjustRightInd w:val="0"/>
              <w:spacing w:after="240"/>
              <w:ind w:left="34"/>
              <w:jc w:val="both"/>
              <w:rPr>
                <w:rFonts w:ascii="Times New Roman" w:eastAsiaTheme="minorHAnsi" w:hAnsi="Times New Roman" w:cs="Times New Roman"/>
                <w:b/>
                <w:color w:val="000000" w:themeColor="text1"/>
                <w:sz w:val="18"/>
                <w:szCs w:val="18"/>
                <w:lang w:val="en-US" w:eastAsia="en-US"/>
              </w:rPr>
            </w:pPr>
            <w:r w:rsidRPr="008F6436">
              <w:rPr>
                <w:rFonts w:ascii="Times New Roman" w:hAnsi="Times New Roman" w:cs="Times New Roman"/>
                <w:b/>
                <w:color w:val="000000" w:themeColor="text1"/>
                <w:sz w:val="18"/>
                <w:szCs w:val="18"/>
              </w:rPr>
              <w:t>2.</w:t>
            </w:r>
            <w:r w:rsidRPr="008F6436">
              <w:rPr>
                <w:rFonts w:ascii="Times New Roman" w:hAnsi="Times New Roman" w:cs="Times New Roman"/>
                <w:b/>
                <w:color w:val="000000" w:themeColor="text1"/>
                <w:sz w:val="18"/>
                <w:szCs w:val="18"/>
                <w:lang w:val="en-GB"/>
              </w:rPr>
              <w:t xml:space="preserve"> C. Renfrew, P. Bahn, </w:t>
            </w:r>
            <w:r w:rsidRPr="008F6436">
              <w:rPr>
                <w:rFonts w:ascii="Times New Roman" w:eastAsiaTheme="minorHAnsi" w:hAnsi="Times New Roman" w:cs="Times New Roman"/>
                <w:b/>
                <w:i/>
                <w:color w:val="000000" w:themeColor="text1"/>
                <w:sz w:val="18"/>
                <w:szCs w:val="18"/>
                <w:lang w:val="en-US" w:eastAsia="en-US"/>
              </w:rPr>
              <w:t>Archaeology: Theory, Methods and Practice</w:t>
            </w:r>
            <w:r w:rsidRPr="008F6436">
              <w:rPr>
                <w:rFonts w:ascii="Times New Roman" w:eastAsiaTheme="minorHAnsi" w:hAnsi="Times New Roman" w:cs="Times New Roman"/>
                <w:b/>
                <w:color w:val="000000" w:themeColor="text1"/>
                <w:sz w:val="18"/>
                <w:szCs w:val="18"/>
                <w:lang w:val="en-US" w:eastAsia="en-US"/>
              </w:rPr>
              <w:t>, London 2012</w:t>
            </w:r>
          </w:p>
          <w:p w:rsidR="008F6436" w:rsidRPr="008F6436" w:rsidRDefault="008F6436">
            <w:pPr>
              <w:pStyle w:val="Akapitzlist"/>
              <w:widowControl w:val="0"/>
              <w:tabs>
                <w:tab w:val="left" w:pos="317"/>
              </w:tabs>
              <w:autoSpaceDE w:val="0"/>
              <w:autoSpaceDN w:val="0"/>
              <w:adjustRightInd w:val="0"/>
              <w:spacing w:after="240"/>
              <w:ind w:left="34"/>
              <w:jc w:val="both"/>
              <w:rPr>
                <w:rFonts w:ascii="Times New Roman" w:eastAsiaTheme="minorHAnsi" w:hAnsi="Times New Roman" w:cs="Times New Roman"/>
                <w:color w:val="000000" w:themeColor="text1"/>
                <w:sz w:val="18"/>
                <w:szCs w:val="18"/>
                <w:lang w:val="en-GB" w:eastAsia="en-US"/>
              </w:rPr>
            </w:pPr>
            <w:r w:rsidRPr="008F6436">
              <w:rPr>
                <w:rFonts w:ascii="Times New Roman" w:hAnsi="Times New Roman" w:cs="Times New Roman"/>
                <w:color w:val="000000" w:themeColor="text1"/>
                <w:sz w:val="18"/>
                <w:szCs w:val="18"/>
              </w:rPr>
              <w:t xml:space="preserve">3. </w:t>
            </w:r>
            <w:r w:rsidRPr="008F6436">
              <w:rPr>
                <w:rFonts w:ascii="Times New Roman" w:eastAsiaTheme="minorHAnsi" w:hAnsi="Times New Roman" w:cs="Times New Roman"/>
                <w:i/>
                <w:color w:val="000000" w:themeColor="text1"/>
                <w:sz w:val="18"/>
                <w:szCs w:val="18"/>
                <w:lang w:val="en-US" w:eastAsia="en-US"/>
              </w:rPr>
              <w:t>The Oxford Handbook of Archaeology</w:t>
            </w:r>
            <w:r w:rsidRPr="008F6436">
              <w:rPr>
                <w:rFonts w:ascii="Times New Roman" w:eastAsiaTheme="minorHAnsi" w:hAnsi="Times New Roman" w:cs="Times New Roman"/>
                <w:color w:val="000000" w:themeColor="text1"/>
                <w:sz w:val="18"/>
                <w:szCs w:val="18"/>
                <w:lang w:val="en-US" w:eastAsia="en-US"/>
              </w:rPr>
              <w:t xml:space="preserve">, B. Cunliffe, C. </w:t>
            </w:r>
            <w:proofErr w:type="spellStart"/>
            <w:r w:rsidRPr="008F6436">
              <w:rPr>
                <w:rFonts w:ascii="Times New Roman" w:eastAsiaTheme="minorHAnsi" w:hAnsi="Times New Roman" w:cs="Times New Roman"/>
                <w:color w:val="000000" w:themeColor="text1"/>
                <w:sz w:val="18"/>
                <w:szCs w:val="18"/>
                <w:lang w:val="en-US" w:eastAsia="en-US"/>
              </w:rPr>
              <w:t>Gosden</w:t>
            </w:r>
            <w:proofErr w:type="spellEnd"/>
            <w:r w:rsidRPr="008F6436">
              <w:rPr>
                <w:rFonts w:ascii="Times New Roman" w:eastAsiaTheme="minorHAnsi" w:hAnsi="Times New Roman" w:cs="Times New Roman"/>
                <w:color w:val="000000" w:themeColor="text1"/>
                <w:sz w:val="18"/>
                <w:szCs w:val="18"/>
                <w:lang w:val="en-US" w:eastAsia="en-US"/>
              </w:rPr>
              <w:t xml:space="preserve"> and R. Joyce eds.,</w:t>
            </w:r>
            <w:r w:rsidRPr="008F6436">
              <w:rPr>
                <w:rFonts w:ascii="Times New Roman" w:eastAsiaTheme="minorHAnsi" w:hAnsi="Times New Roman" w:cs="Times New Roman"/>
                <w:color w:val="000000" w:themeColor="text1"/>
                <w:sz w:val="18"/>
                <w:szCs w:val="18"/>
                <w:lang w:val="en-GB" w:eastAsia="en-US"/>
              </w:rPr>
              <w:t xml:space="preserve"> Oxford </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11.</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Specyfika prowadzenia badań archeologicznych w basenie Morza Śródziemnego </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 xml:space="preserve">Specifity of archeolo-gical exploration in the Mediterranean area. </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pStyle w:val="Akapitzlist"/>
              <w:spacing w:after="240"/>
              <w:ind w:left="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w:t>
            </w:r>
          </w:p>
          <w:p w:rsidR="008F6436" w:rsidRPr="008F6436" w:rsidRDefault="008F6436">
            <w:pPr>
              <w:pStyle w:val="Akapitzlist"/>
              <w:spacing w:after="240"/>
              <w:ind w:left="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Poznanie szczególnych uwarunkowań (położenie, ukształtowanie powierzchni, klimat) terytoriów wokół Morza Środziemnego oraz charakteru badanych stanowisk – wielokulturowych, o złożonej chronologii, z kamienną architekturą i bogatym wyposażeniem.</w:t>
            </w:r>
          </w:p>
        </w:tc>
        <w:tc>
          <w:tcPr>
            <w:tcW w:w="2201" w:type="pct"/>
            <w:tcBorders>
              <w:top w:val="single" w:sz="4" w:space="0" w:color="auto"/>
              <w:left w:val="single" w:sz="4" w:space="0" w:color="auto"/>
              <w:bottom w:val="single" w:sz="4" w:space="0" w:color="auto"/>
              <w:right w:val="single" w:sz="4" w:space="0" w:color="auto"/>
            </w:tcBorders>
          </w:tcPr>
          <w:p w:rsidR="008F6436" w:rsidRPr="008F6436" w:rsidRDefault="008F6436">
            <w:pPr>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Wykład (z prezentacją), uzupełniony lekturą:</w:t>
            </w:r>
          </w:p>
          <w:p w:rsidR="008F6436" w:rsidRPr="008F6436" w:rsidRDefault="008F6436">
            <w:pPr>
              <w:jc w:val="both"/>
              <w:rPr>
                <w:rFonts w:ascii="Times New Roman" w:hAnsi="Times New Roman" w:cs="Times New Roman"/>
                <w:color w:val="000000" w:themeColor="text1"/>
                <w:sz w:val="18"/>
                <w:szCs w:val="18"/>
              </w:rPr>
            </w:pPr>
          </w:p>
          <w:p w:rsidR="008F6436" w:rsidRPr="008F6436" w:rsidRDefault="008F6436" w:rsidP="00397E22">
            <w:pPr>
              <w:pStyle w:val="Akapitzlist"/>
              <w:widowControl w:val="0"/>
              <w:numPr>
                <w:ilvl w:val="0"/>
                <w:numId w:val="9"/>
              </w:numPr>
              <w:tabs>
                <w:tab w:val="left" w:pos="317"/>
              </w:tabs>
              <w:autoSpaceDE w:val="0"/>
              <w:autoSpaceDN w:val="0"/>
              <w:adjustRightInd w:val="0"/>
              <w:spacing w:after="240"/>
              <w:ind w:left="34" w:firstLine="0"/>
              <w:jc w:val="both"/>
              <w:rPr>
                <w:rFonts w:ascii="Times New Roman" w:eastAsiaTheme="minorHAnsi" w:hAnsi="Times New Roman" w:cs="Times New Roman"/>
                <w:color w:val="000000" w:themeColor="text1"/>
                <w:sz w:val="18"/>
                <w:szCs w:val="18"/>
                <w:lang w:val="en-US" w:eastAsia="en-US"/>
              </w:rPr>
            </w:pPr>
            <w:r w:rsidRPr="008F6436">
              <w:rPr>
                <w:rFonts w:ascii="Times New Roman" w:eastAsiaTheme="minorHAnsi" w:hAnsi="Times New Roman" w:cs="Times New Roman"/>
                <w:color w:val="000000" w:themeColor="text1"/>
                <w:sz w:val="18"/>
                <w:szCs w:val="18"/>
                <w:lang w:val="en-US" w:eastAsia="en-US"/>
              </w:rPr>
              <w:t xml:space="preserve">J. Grant, S. </w:t>
            </w:r>
            <w:proofErr w:type="spellStart"/>
            <w:r w:rsidRPr="008F6436">
              <w:rPr>
                <w:rFonts w:ascii="Times New Roman" w:eastAsiaTheme="minorHAnsi" w:hAnsi="Times New Roman" w:cs="Times New Roman"/>
                <w:color w:val="000000" w:themeColor="text1"/>
                <w:sz w:val="18"/>
                <w:szCs w:val="18"/>
                <w:lang w:val="en-US" w:eastAsia="en-US"/>
              </w:rPr>
              <w:t>Gorin</w:t>
            </w:r>
            <w:proofErr w:type="spellEnd"/>
            <w:r w:rsidRPr="008F6436">
              <w:rPr>
                <w:rFonts w:ascii="Times New Roman" w:eastAsiaTheme="minorHAnsi" w:hAnsi="Times New Roman" w:cs="Times New Roman"/>
                <w:color w:val="000000" w:themeColor="text1"/>
                <w:sz w:val="18"/>
                <w:szCs w:val="18"/>
                <w:lang w:val="en-US" w:eastAsia="en-US"/>
              </w:rPr>
              <w:t xml:space="preserve">, N. Fleming, </w:t>
            </w:r>
            <w:r w:rsidRPr="008F6436">
              <w:rPr>
                <w:rFonts w:ascii="Times New Roman" w:eastAsiaTheme="minorHAnsi" w:hAnsi="Times New Roman" w:cs="Times New Roman"/>
                <w:i/>
                <w:color w:val="000000" w:themeColor="text1"/>
                <w:sz w:val="18"/>
                <w:szCs w:val="18"/>
                <w:lang w:val="en-US" w:eastAsia="en-US"/>
              </w:rPr>
              <w:t>The Archaeology Coursebook: An Introduction to Themes, Sites, Methods and Skills</w:t>
            </w:r>
            <w:r w:rsidRPr="008F6436">
              <w:rPr>
                <w:rFonts w:ascii="Times New Roman" w:eastAsiaTheme="minorHAnsi" w:hAnsi="Times New Roman" w:cs="Times New Roman"/>
                <w:color w:val="000000" w:themeColor="text1"/>
                <w:sz w:val="18"/>
                <w:szCs w:val="18"/>
                <w:lang w:val="en-US" w:eastAsia="en-US"/>
              </w:rPr>
              <w:t xml:space="preserve">, London 2008. </w:t>
            </w:r>
          </w:p>
          <w:p w:rsidR="008F6436" w:rsidRPr="008F6436" w:rsidRDefault="008F6436" w:rsidP="00397E22">
            <w:pPr>
              <w:pStyle w:val="Akapitzlist"/>
              <w:widowControl w:val="0"/>
              <w:numPr>
                <w:ilvl w:val="0"/>
                <w:numId w:val="9"/>
              </w:numPr>
              <w:tabs>
                <w:tab w:val="left" w:pos="317"/>
              </w:tabs>
              <w:autoSpaceDE w:val="0"/>
              <w:autoSpaceDN w:val="0"/>
              <w:adjustRightInd w:val="0"/>
              <w:spacing w:after="240"/>
              <w:ind w:left="34" w:firstLine="0"/>
              <w:jc w:val="both"/>
              <w:rPr>
                <w:rFonts w:ascii="Times New Roman" w:eastAsiaTheme="minorHAnsi" w:hAnsi="Times New Roman" w:cs="Times New Roman"/>
                <w:color w:val="000000" w:themeColor="text1"/>
                <w:sz w:val="18"/>
                <w:szCs w:val="18"/>
                <w:lang w:val="en-US" w:eastAsia="en-US"/>
              </w:rPr>
            </w:pPr>
            <w:r w:rsidRPr="008F6436">
              <w:rPr>
                <w:rFonts w:ascii="Times New Roman" w:eastAsiaTheme="minorHAnsi" w:hAnsi="Times New Roman" w:cs="Times New Roman"/>
                <w:i/>
                <w:color w:val="000000" w:themeColor="text1"/>
                <w:sz w:val="18"/>
                <w:szCs w:val="18"/>
                <w:lang w:val="en-US" w:eastAsia="en-US"/>
              </w:rPr>
              <w:t>The Cambridge Companion to Historical Archaeology</w:t>
            </w:r>
            <w:r w:rsidRPr="008F6436">
              <w:rPr>
                <w:rFonts w:ascii="Times New Roman" w:eastAsiaTheme="minorHAnsi" w:hAnsi="Times New Roman" w:cs="Times New Roman"/>
                <w:color w:val="000000" w:themeColor="text1"/>
                <w:sz w:val="18"/>
                <w:szCs w:val="18"/>
                <w:lang w:val="en-US" w:eastAsia="en-US"/>
              </w:rPr>
              <w:t>, D. Hicks, M. Beaudry eds, Cambridge 2007;</w:t>
            </w:r>
          </w:p>
          <w:p w:rsidR="008F6436" w:rsidRPr="008F6436" w:rsidRDefault="008F6436" w:rsidP="00397E22">
            <w:pPr>
              <w:pStyle w:val="Akapitzlist"/>
              <w:widowControl w:val="0"/>
              <w:numPr>
                <w:ilvl w:val="0"/>
                <w:numId w:val="9"/>
              </w:numPr>
              <w:tabs>
                <w:tab w:val="left" w:pos="317"/>
              </w:tabs>
              <w:autoSpaceDE w:val="0"/>
              <w:autoSpaceDN w:val="0"/>
              <w:adjustRightInd w:val="0"/>
              <w:spacing w:after="240"/>
              <w:ind w:left="34" w:firstLine="0"/>
              <w:jc w:val="both"/>
              <w:rPr>
                <w:rFonts w:ascii="Times New Roman" w:eastAsiaTheme="minorHAnsi" w:hAnsi="Times New Roman" w:cs="Times New Roman"/>
                <w:color w:val="000000" w:themeColor="text1"/>
                <w:sz w:val="18"/>
                <w:szCs w:val="18"/>
                <w:lang w:val="en-US" w:eastAsia="en-US"/>
              </w:rPr>
            </w:pPr>
            <w:r w:rsidRPr="008F6436">
              <w:rPr>
                <w:rFonts w:ascii="Times New Roman" w:eastAsiaTheme="minorHAnsi" w:hAnsi="Times New Roman" w:cs="Times New Roman"/>
                <w:i/>
                <w:color w:val="000000" w:themeColor="text1"/>
                <w:sz w:val="18"/>
                <w:szCs w:val="18"/>
                <w:lang w:val="en-US" w:eastAsia="en-US"/>
              </w:rPr>
              <w:t>Classical Archaeology</w:t>
            </w:r>
            <w:r w:rsidRPr="008F6436">
              <w:rPr>
                <w:rFonts w:ascii="Times New Roman" w:eastAsiaTheme="minorHAnsi" w:hAnsi="Times New Roman" w:cs="Times New Roman"/>
                <w:color w:val="000000" w:themeColor="text1"/>
                <w:sz w:val="18"/>
                <w:szCs w:val="18"/>
                <w:lang w:val="en-US" w:eastAsia="en-US"/>
              </w:rPr>
              <w:t xml:space="preserve">, </w:t>
            </w:r>
            <w:r w:rsidRPr="008F6436">
              <w:rPr>
                <w:rFonts w:ascii="Times New Roman" w:hAnsi="Times New Roman" w:cs="Times New Roman"/>
                <w:color w:val="000000" w:themeColor="text1"/>
                <w:sz w:val="18"/>
                <w:szCs w:val="18"/>
                <w:lang w:val="en-GB"/>
              </w:rPr>
              <w:t xml:space="preserve">S. </w:t>
            </w:r>
            <w:proofErr w:type="spellStart"/>
            <w:r w:rsidRPr="008F6436">
              <w:rPr>
                <w:rFonts w:ascii="Times New Roman" w:hAnsi="Times New Roman" w:cs="Times New Roman"/>
                <w:color w:val="000000" w:themeColor="text1"/>
                <w:sz w:val="18"/>
                <w:szCs w:val="18"/>
                <w:lang w:val="en-GB"/>
              </w:rPr>
              <w:t>Alcock</w:t>
            </w:r>
            <w:proofErr w:type="spellEnd"/>
            <w:r w:rsidRPr="008F6436">
              <w:rPr>
                <w:rFonts w:ascii="Times New Roman" w:hAnsi="Times New Roman" w:cs="Times New Roman"/>
                <w:color w:val="000000" w:themeColor="text1"/>
                <w:sz w:val="18"/>
                <w:szCs w:val="18"/>
                <w:lang w:val="en-GB"/>
              </w:rPr>
              <w:t>, R. Osborne eds, Oxford 2013</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12.</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Metody badań nieinwazyjnych w archeologii</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 xml:space="preserve">Methods of field prospec-tion and non-invasive survey </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Poznanie różnych metod prowadzenia prospekcji w terenie oraz badań o charakterze nieinwazyjnym (metody: geofizyczna i elektroporowa z zastosowaniem różnego rodzaju </w:t>
            </w:r>
            <w:r w:rsidRPr="008F6436">
              <w:rPr>
                <w:rFonts w:ascii="Times New Roman" w:hAnsi="Times New Roman" w:cs="Times New Roman"/>
                <w:color w:val="000000" w:themeColor="text1"/>
                <w:sz w:val="18"/>
                <w:szCs w:val="18"/>
              </w:rPr>
              <w:lastRenderedPageBreak/>
              <w:t>specjalistycznego sprzętu)</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Wykład (z prezentacją), uzupełniony lekturą:</w:t>
            </w:r>
          </w:p>
          <w:p w:rsidR="008F6436" w:rsidRPr="008F6436" w:rsidRDefault="008F6436">
            <w:pPr>
              <w:spacing w:after="240"/>
              <w:jc w:val="both"/>
              <w:rPr>
                <w:rFonts w:ascii="Times New Roman" w:hAnsi="Times New Roman" w:cs="Times New Roman"/>
                <w:bCs/>
                <w:color w:val="000000" w:themeColor="text1"/>
                <w:sz w:val="18"/>
                <w:szCs w:val="18"/>
                <w:lang w:val="en-US"/>
              </w:rPr>
            </w:pPr>
            <w:proofErr w:type="spellStart"/>
            <w:r w:rsidRPr="008F6436">
              <w:rPr>
                <w:rFonts w:ascii="Times New Roman" w:hAnsi="Times New Roman" w:cs="Times New Roman"/>
                <w:bCs/>
                <w:color w:val="000000" w:themeColor="text1"/>
                <w:sz w:val="18"/>
                <w:szCs w:val="18"/>
                <w:lang w:val="en-US"/>
              </w:rPr>
              <w:t>Misiewicz</w:t>
            </w:r>
            <w:proofErr w:type="spellEnd"/>
            <w:r w:rsidRPr="008F6436">
              <w:rPr>
                <w:rFonts w:ascii="Times New Roman" w:hAnsi="Times New Roman" w:cs="Times New Roman"/>
                <w:bCs/>
                <w:color w:val="000000" w:themeColor="text1"/>
                <w:sz w:val="18"/>
                <w:szCs w:val="18"/>
                <w:lang w:val="en-US"/>
              </w:rPr>
              <w:t xml:space="preserve"> K., </w:t>
            </w:r>
            <w:proofErr w:type="spellStart"/>
            <w:r w:rsidRPr="008F6436">
              <w:rPr>
                <w:rFonts w:ascii="Times New Roman" w:hAnsi="Times New Roman" w:cs="Times New Roman"/>
                <w:bCs/>
                <w:color w:val="000000" w:themeColor="text1"/>
                <w:sz w:val="18"/>
                <w:szCs w:val="18"/>
                <w:lang w:val="en-US"/>
              </w:rPr>
              <w:t>Bogacki</w:t>
            </w:r>
            <w:proofErr w:type="spellEnd"/>
            <w:r w:rsidRPr="008F6436">
              <w:rPr>
                <w:rFonts w:ascii="Times New Roman" w:hAnsi="Times New Roman" w:cs="Times New Roman"/>
                <w:bCs/>
                <w:color w:val="000000" w:themeColor="text1"/>
                <w:sz w:val="18"/>
                <w:szCs w:val="18"/>
                <w:lang w:val="en-US"/>
              </w:rPr>
              <w:t xml:space="preserve"> M., </w:t>
            </w:r>
            <w:proofErr w:type="spellStart"/>
            <w:r w:rsidRPr="008F6436">
              <w:rPr>
                <w:rFonts w:ascii="Times New Roman" w:hAnsi="Times New Roman" w:cs="Times New Roman"/>
                <w:bCs/>
                <w:color w:val="000000" w:themeColor="text1"/>
                <w:sz w:val="18"/>
                <w:szCs w:val="18"/>
                <w:lang w:val="en-US"/>
              </w:rPr>
              <w:t>Zawadzka-Pawlewska</w:t>
            </w:r>
            <w:proofErr w:type="spellEnd"/>
            <w:r w:rsidRPr="008F6436">
              <w:rPr>
                <w:rFonts w:ascii="Times New Roman" w:hAnsi="Times New Roman" w:cs="Times New Roman"/>
                <w:bCs/>
                <w:color w:val="000000" w:themeColor="text1"/>
                <w:sz w:val="18"/>
                <w:szCs w:val="18"/>
                <w:lang w:val="en-US"/>
              </w:rPr>
              <w:t xml:space="preserve"> U., </w:t>
            </w:r>
            <w:proofErr w:type="spellStart"/>
            <w:r w:rsidRPr="008F6436">
              <w:rPr>
                <w:rFonts w:ascii="Times New Roman" w:hAnsi="Times New Roman" w:cs="Times New Roman"/>
                <w:bCs/>
                <w:color w:val="000000" w:themeColor="text1"/>
                <w:sz w:val="18"/>
                <w:szCs w:val="18"/>
                <w:lang w:val="en-US"/>
              </w:rPr>
              <w:t>Chyla</w:t>
            </w:r>
            <w:proofErr w:type="spellEnd"/>
            <w:r w:rsidRPr="008F6436">
              <w:rPr>
                <w:rFonts w:ascii="Times New Roman" w:hAnsi="Times New Roman" w:cs="Times New Roman"/>
                <w:bCs/>
                <w:color w:val="000000" w:themeColor="text1"/>
                <w:sz w:val="18"/>
                <w:szCs w:val="18"/>
                <w:lang w:val="en-US"/>
              </w:rPr>
              <w:t xml:space="preserve"> J., </w:t>
            </w:r>
            <w:proofErr w:type="spellStart"/>
            <w:r w:rsidRPr="008F6436">
              <w:rPr>
                <w:rFonts w:ascii="Times New Roman" w:hAnsi="Times New Roman" w:cs="Times New Roman"/>
                <w:bCs/>
                <w:color w:val="000000" w:themeColor="text1"/>
                <w:sz w:val="18"/>
                <w:szCs w:val="18"/>
                <w:lang w:val="en-US"/>
              </w:rPr>
              <w:t>Małkowski</w:t>
            </w:r>
            <w:proofErr w:type="spellEnd"/>
            <w:r w:rsidRPr="008F6436">
              <w:rPr>
                <w:rFonts w:ascii="Times New Roman" w:hAnsi="Times New Roman" w:cs="Times New Roman"/>
                <w:bCs/>
                <w:color w:val="000000" w:themeColor="text1"/>
                <w:sz w:val="18"/>
                <w:szCs w:val="18"/>
                <w:lang w:val="en-US"/>
              </w:rPr>
              <w:t xml:space="preserve"> W., </w:t>
            </w:r>
            <w:r w:rsidRPr="008F6436">
              <w:rPr>
                <w:rFonts w:ascii="Times New Roman" w:hAnsi="Times New Roman" w:cs="Times New Roman"/>
                <w:bCs/>
                <w:i/>
                <w:color w:val="000000" w:themeColor="text1"/>
                <w:sz w:val="18"/>
                <w:szCs w:val="18"/>
                <w:lang w:val="en-US"/>
              </w:rPr>
              <w:t>How to teach GIS to archaeologists</w:t>
            </w:r>
            <w:r w:rsidRPr="008F6436">
              <w:rPr>
                <w:rFonts w:ascii="Times New Roman" w:hAnsi="Times New Roman" w:cs="Times New Roman"/>
                <w:bCs/>
                <w:color w:val="000000" w:themeColor="text1"/>
                <w:sz w:val="18"/>
                <w:szCs w:val="18"/>
                <w:lang w:val="en-US"/>
              </w:rPr>
              <w:t>,</w:t>
            </w:r>
            <w:r w:rsidRPr="008F6436">
              <w:rPr>
                <w:rFonts w:ascii="Times New Roman" w:hAnsi="Times New Roman" w:cs="Times New Roman"/>
                <w:color w:val="000000" w:themeColor="text1"/>
                <w:sz w:val="18"/>
                <w:szCs w:val="18"/>
                <w:lang w:val="en-US"/>
              </w:rPr>
              <w:t xml:space="preserve"> </w:t>
            </w:r>
            <w:r w:rsidRPr="008F6436">
              <w:rPr>
                <w:rFonts w:ascii="Times New Roman" w:hAnsi="Times New Roman" w:cs="Times New Roman"/>
                <w:bCs/>
                <w:color w:val="000000" w:themeColor="text1"/>
                <w:sz w:val="18"/>
                <w:szCs w:val="18"/>
                <w:lang w:val="en-US"/>
              </w:rPr>
              <w:t xml:space="preserve">Proceedings of the 43rd Annual Conference on Computer Applications and Quantitative Methods in Archaeology, Campano S., </w:t>
            </w:r>
            <w:proofErr w:type="spellStart"/>
            <w:r w:rsidRPr="008F6436">
              <w:rPr>
                <w:rFonts w:ascii="Times New Roman" w:hAnsi="Times New Roman" w:cs="Times New Roman"/>
                <w:bCs/>
                <w:color w:val="000000" w:themeColor="text1"/>
                <w:sz w:val="18"/>
                <w:szCs w:val="18"/>
                <w:lang w:val="en-US"/>
              </w:rPr>
              <w:t>Carpentiero</w:t>
            </w:r>
            <w:proofErr w:type="spellEnd"/>
            <w:r w:rsidRPr="008F6436">
              <w:rPr>
                <w:rFonts w:ascii="Times New Roman" w:hAnsi="Times New Roman" w:cs="Times New Roman"/>
                <w:bCs/>
                <w:color w:val="000000" w:themeColor="text1"/>
                <w:sz w:val="18"/>
                <w:szCs w:val="18"/>
                <w:lang w:val="en-US"/>
              </w:rPr>
              <w:t xml:space="preserve"> G.,  Cirillo M. eds, Siena 2016: 21-26</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lang w:val="en-US"/>
              </w:rPr>
              <w:t xml:space="preserve">  </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13.</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Dokumentacja, archiwi-zacja i przetwarzanie danych w archeologii – niezbędnik archeologa XXI wieku </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Documentation, archi-ving and data processing – the archaeologist’s of 21st century must-know</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Poznanie rodzajów dokumentacji tradycyjnej (opis, rysunek, fotografia) oraz z wykorzystaniem najnowszych technologii pomiarowych i cyfrowych (GIS, ortofotomapy, fotogrametria); poznanie zasad działania podstawowych programów do obróbki graficznej , danych geodezyjnych, fotogrametrycznych (Adobe Photoshop, Adobe Illustrator, CorelDraw Corel PHOTO-PAINT, AutoCAD, Surfer, AgiSoft); zrozumienie wartości cyfrowej dokumentacji w analizie i interpretacji pozyskanych danych.</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z prezentacją </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14.</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Dokumentacja, archiwizacja i przetwarzanie danych w archeologii</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i/>
                <w:color w:val="000000" w:themeColor="text1"/>
                <w:sz w:val="18"/>
                <w:szCs w:val="18"/>
              </w:rPr>
              <w:t>Documentation, archiving and data processing.</w:t>
            </w:r>
          </w:p>
        </w:tc>
        <w:tc>
          <w:tcPr>
            <w:tcW w:w="668" w:type="pct"/>
            <w:tcBorders>
              <w:top w:val="single" w:sz="4" w:space="0" w:color="auto"/>
              <w:left w:val="single" w:sz="4" w:space="0" w:color="auto"/>
              <w:bottom w:val="single" w:sz="4" w:space="0" w:color="auto"/>
              <w:right w:val="single" w:sz="4" w:space="0" w:color="auto"/>
            </w:tcBorders>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Ćwiczenia (w sali)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(4 godziny)</w:t>
            </w:r>
          </w:p>
          <w:p w:rsidR="008F6436" w:rsidRPr="008F6436" w:rsidRDefault="008F6436">
            <w:pPr>
              <w:spacing w:after="240"/>
              <w:jc w:val="both"/>
              <w:rPr>
                <w:rFonts w:ascii="Times New Roman" w:hAnsi="Times New Roman" w:cs="Times New Roman"/>
                <w:color w:val="000000" w:themeColor="text1"/>
                <w:sz w:val="18"/>
                <w:szCs w:val="18"/>
              </w:rPr>
            </w:pP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Praktyczne poznanie zasad dokumentacji tradycyjnej; nabycie praktycznych, podstawowych umiejętności w obsłudze wybranych programów do rejestracji i przetwarzania danych; poznanie sposobu tworzenia podstawowych baz danych.</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Ćwiczenia z zakresu tradycyjnej  dokumentacji opisowej (formularze), rysunkowej i fotograficznej; nowoczesne techniki dokumentacyjne – fotogrametria i ortofotomapy; tworzenie baz danych; dokumentacja z zastosowaniem nowoczesnych metod on- i offline czyli rysowanie bez kartki, aplikacje na smartfony – wypełnianie dokumentacji w terenie.</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15.</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Dokumentacja zabytków – lampki oliwne, cera-mika rzymska, późno-antyczna , islamska</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 xml:space="preserve">Documentation of objects (oil lamps, pottery) </w:t>
            </w:r>
          </w:p>
        </w:tc>
        <w:tc>
          <w:tcPr>
            <w:tcW w:w="668" w:type="pct"/>
            <w:tcBorders>
              <w:top w:val="single" w:sz="4" w:space="0" w:color="auto"/>
              <w:left w:val="single" w:sz="4" w:space="0" w:color="auto"/>
              <w:bottom w:val="single" w:sz="4" w:space="0" w:color="auto"/>
              <w:right w:val="single" w:sz="4" w:space="0" w:color="auto"/>
            </w:tcBorders>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Ćwiczenia (w sali)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(4 godziny)</w:t>
            </w:r>
          </w:p>
          <w:p w:rsidR="008F6436" w:rsidRPr="008F6436" w:rsidRDefault="008F6436">
            <w:pPr>
              <w:spacing w:after="240"/>
              <w:jc w:val="both"/>
              <w:rPr>
                <w:rFonts w:ascii="Times New Roman" w:hAnsi="Times New Roman" w:cs="Times New Roman"/>
                <w:color w:val="000000" w:themeColor="text1"/>
                <w:sz w:val="18"/>
                <w:szCs w:val="18"/>
              </w:rPr>
            </w:pP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Poznanie podstawowych typów przedmiotów codziennego użytku, ich form, ewentualnej ikonografii, osrodków produkcji; zrozumienie znaczenia ich funkcji w życiu codziennym; zrozumienie ich roli </w:t>
            </w:r>
            <w:r w:rsidRPr="008F6436">
              <w:rPr>
                <w:rFonts w:ascii="Times New Roman" w:hAnsi="Times New Roman" w:cs="Times New Roman"/>
                <w:color w:val="000000" w:themeColor="text1"/>
                <w:sz w:val="18"/>
                <w:szCs w:val="18"/>
              </w:rPr>
              <w:lastRenderedPageBreak/>
              <w:t>w badaniach archeo-logicznych (tj. masowy materiał o ściśle określonej typologii, istotny w datowaniu kontekstów).</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 xml:space="preserve">Konwersatorium z wykorzystaniem materiału ilustracyjnego oraz oryginalnych zabytków; ćwiczenia praktyczne z dokumentacji zabytków (zachowanych w całości lub fragmentarycznie) – opis, rysunki, fotografie w skali.  </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16. </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Badania archeologiczne w Mustis</w:t>
            </w:r>
          </w:p>
          <w:p w:rsidR="008F6436" w:rsidRPr="008F6436" w:rsidRDefault="008F6436">
            <w:pPr>
              <w:spacing w:after="240"/>
              <w:jc w:val="both"/>
              <w:rPr>
                <w:rFonts w:ascii="Times New Roman" w:hAnsi="Times New Roman" w:cs="Times New Roman"/>
                <w:i/>
                <w:color w:val="000000" w:themeColor="text1"/>
                <w:sz w:val="18"/>
                <w:szCs w:val="18"/>
                <w:highlight w:val="yellow"/>
              </w:rPr>
            </w:pPr>
            <w:r w:rsidRPr="008F6436">
              <w:rPr>
                <w:rFonts w:ascii="Times New Roman" w:hAnsi="Times New Roman" w:cs="Times New Roman"/>
                <w:i/>
                <w:color w:val="000000" w:themeColor="text1"/>
                <w:sz w:val="18"/>
                <w:szCs w:val="18"/>
              </w:rPr>
              <w:t xml:space="preserve">Mustis - methods of field exploration </w:t>
            </w:r>
          </w:p>
        </w:tc>
        <w:tc>
          <w:tcPr>
            <w:tcW w:w="668" w:type="pct"/>
            <w:tcBorders>
              <w:top w:val="single" w:sz="4" w:space="0" w:color="auto"/>
              <w:left w:val="single" w:sz="4" w:space="0" w:color="auto"/>
              <w:bottom w:val="single" w:sz="4" w:space="0" w:color="auto"/>
              <w:right w:val="single" w:sz="4" w:space="0" w:color="auto"/>
            </w:tcBorders>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Ćwiczenia (w terene)</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 (16 hours)</w:t>
            </w:r>
          </w:p>
          <w:p w:rsidR="008F6436" w:rsidRPr="008F6436" w:rsidRDefault="008F6436">
            <w:pPr>
              <w:spacing w:after="240"/>
              <w:jc w:val="both"/>
              <w:rPr>
                <w:rFonts w:ascii="Times New Roman" w:hAnsi="Times New Roman" w:cs="Times New Roman"/>
                <w:color w:val="000000" w:themeColor="text1"/>
                <w:sz w:val="18"/>
                <w:szCs w:val="18"/>
              </w:rPr>
            </w:pP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Aplikacja nabytej wiedzy w warunkach polowych – poznanie podstawowych technik eksploracji i wstępnej dokumentacji polowej, poznanie w praktyce zasad rejestracji danych za pomocą  tachimetru laserowego.</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Zastosowanie w praktyce techniki esploracji: sondaże, badania szerokopłaszczyznowe, badania tratygraficzne; dokumentacja profili stratygraficz-nych (rysunkowa, fotograficzna); stratygrafia murów; plany płaskie, dokumentacja architektury, inwentaryzacja polowa zabytków. </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17.</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Stanowisko archeologiczne Mustis – wizyta w terenie </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 xml:space="preserve">Mustis in Tunisia – visiting the archaeo-logical site </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Ćwiczenia (w terenie)</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Poznanie stanowiska archeologicznego Mustis, histori jego powstania i rozwoju; zrozumienie układu urbanistycznego miasta; rozpoznanie zachowanych budowli.</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Oprowadzanie po stanowisku, ćwiczenia z elementami konwersatorium.</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18.</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Prospekcja powierzchniowa rejonu Mustis </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 xml:space="preserve">Survey around Mustis area - </w:t>
            </w:r>
            <w:r w:rsidRPr="008F6436">
              <w:rPr>
                <w:rStyle w:val="shorttext"/>
                <w:rFonts w:ascii="Times New Roman" w:hAnsi="Times New Roman" w:cs="Times New Roman"/>
                <w:i/>
                <w:color w:val="000000" w:themeColor="text1"/>
                <w:sz w:val="18"/>
                <w:szCs w:val="18"/>
              </w:rPr>
              <w:t>topographical measurements and documentation</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Ćwiczenia (w terenie)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(6 godzin)</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Poznanie metod prowadzenia prospekcji terenu: tradycyjnej i z użyciem wyspecjalizowanego sprzętu do badań niewinwazyjnych (magnetometr do rozpoznania niewidocznych pod ziemia pozostałości acheologicznych; tomograf do pomiarów elektrooporowości przydatny w określaniu sekwencji i miąższości warstw archeologicznych).</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line="276" w:lineRule="auto"/>
              <w:ind w:left="34"/>
              <w:jc w:val="both"/>
              <w:rPr>
                <w:rFonts w:ascii="Times New Roman" w:hAnsi="Times New Roman" w:cs="Times New Roman"/>
                <w:color w:val="000000" w:themeColor="text1"/>
                <w:sz w:val="18"/>
                <w:szCs w:val="18"/>
                <w:lang w:val="pl-PL"/>
              </w:rPr>
            </w:pPr>
            <w:r w:rsidRPr="008F6436">
              <w:rPr>
                <w:rFonts w:ascii="Times New Roman" w:hAnsi="Times New Roman" w:cs="Times New Roman"/>
                <w:color w:val="000000" w:themeColor="text1"/>
                <w:sz w:val="18"/>
                <w:szCs w:val="18"/>
              </w:rPr>
              <w:t xml:space="preserve">Praktyczne wykorzystanie w terenie wiadomości nabytych w sali: prospekcja z wykorzystaniem sprzętu do pomiarów geodezyjnych (Total Station) i badania nieinwazyjne (magnetometr </w:t>
            </w:r>
            <w:r w:rsidRPr="008F6436">
              <w:rPr>
                <w:rFonts w:ascii="Times New Roman" w:eastAsia="Times New Roman" w:hAnsi="Times New Roman" w:cs="Times New Roman"/>
                <w:color w:val="000000" w:themeColor="text1"/>
                <w:sz w:val="18"/>
                <w:szCs w:val="18"/>
                <w:lang w:eastAsia="zh-CN"/>
              </w:rPr>
              <w:t>Cesium Mapmag Geometrics G-858; sprzęt do pomiaru elektrooporowości  A</w:t>
            </w:r>
            <w:r w:rsidRPr="008F6436">
              <w:rPr>
                <w:rFonts w:ascii="Times New Roman" w:eastAsia="Times New Roman" w:hAnsi="Times New Roman" w:cs="Times New Roman"/>
                <w:color w:val="000000" w:themeColor="text1"/>
                <w:sz w:val="18"/>
                <w:szCs w:val="18"/>
                <w:lang w:val="pl-PL" w:eastAsia="zh-CN"/>
              </w:rPr>
              <w:t xml:space="preserve">BEM </w:t>
            </w:r>
            <w:proofErr w:type="spellStart"/>
            <w:r w:rsidRPr="008F6436">
              <w:rPr>
                <w:rFonts w:ascii="Times New Roman" w:eastAsia="Times New Roman" w:hAnsi="Times New Roman" w:cs="Times New Roman"/>
                <w:color w:val="000000" w:themeColor="text1"/>
                <w:sz w:val="18"/>
                <w:szCs w:val="18"/>
                <w:lang w:val="pl-PL" w:eastAsia="zh-CN"/>
              </w:rPr>
              <w:t>Terrameter</w:t>
            </w:r>
            <w:proofErr w:type="spellEnd"/>
            <w:r w:rsidRPr="008F6436">
              <w:rPr>
                <w:rFonts w:ascii="Times New Roman" w:eastAsia="Times New Roman" w:hAnsi="Times New Roman" w:cs="Times New Roman"/>
                <w:color w:val="000000" w:themeColor="text1"/>
                <w:sz w:val="18"/>
                <w:szCs w:val="18"/>
                <w:lang w:val="pl-PL" w:eastAsia="zh-CN"/>
              </w:rPr>
              <w:t xml:space="preserve"> LS.</w:t>
            </w:r>
          </w:p>
        </w:tc>
      </w:tr>
      <w:tr w:rsidR="008F6436" w:rsidRPr="008F6436" w:rsidTr="008F6436">
        <w:trPr>
          <w:trHeight w:val="50"/>
        </w:trPr>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19.</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Dekoracja architektoniczna rzymskiej Afryki na przykładach z Mustis</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 xml:space="preserve">Architectural decoration in Roman Africa </w:t>
            </w:r>
            <w:r w:rsidRPr="008F6436">
              <w:rPr>
                <w:rFonts w:ascii="Times New Roman" w:hAnsi="Times New Roman" w:cs="Times New Roman"/>
                <w:i/>
                <w:color w:val="000000" w:themeColor="text1"/>
                <w:sz w:val="18"/>
                <w:szCs w:val="18"/>
              </w:rPr>
              <w:lastRenderedPageBreak/>
              <w:t>(based on Mustis buildings)</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 xml:space="preserve">Ćwiczenia (w terenie)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 (2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Umiejętność rozpoznawania,określania typów i opisywania  z użyciem odpowiedniej terminologii dekorowanych kamiennych fragmentów wykorzystywanych </w:t>
            </w:r>
            <w:r w:rsidRPr="008F6436">
              <w:rPr>
                <w:rFonts w:ascii="Times New Roman" w:hAnsi="Times New Roman" w:cs="Times New Roman"/>
                <w:color w:val="000000" w:themeColor="text1"/>
                <w:sz w:val="18"/>
                <w:szCs w:val="18"/>
              </w:rPr>
              <w:lastRenderedPageBreak/>
              <w:t>w architekturze; poznanie ich funkcji w naturalnym otoczeniu i oryginalnym kontekście.</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Ćwiczenia z praktycznej umiejętności rozpoznawania obiektów zachowanych terenie z użyciem specjalistycznej terminologii do określenia typów i funkcji dekorowanych bloków kamiennych (belkowanie, głowice, kolumny, bazy, wegary itp); opis dekoracji z użyciem specjalistycznej termi-nologii; metody dokumentacji polowej i ich użycie w praktyce (rysunek, zdjęcia do obróbki z wyko-rzystaniem oprogramowania AgiSoft; skanowanie 3D).</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20.</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Podstawy epigrafiki łacińskiej na przykładach z Mustis </w:t>
            </w:r>
          </w:p>
          <w:p w:rsidR="008F6436" w:rsidRPr="008F6436" w:rsidRDefault="008F6436">
            <w:pPr>
              <w:spacing w:after="240"/>
              <w:jc w:val="both"/>
              <w:rPr>
                <w:rFonts w:ascii="Times New Roman" w:hAnsi="Times New Roman" w:cs="Times New Roman"/>
                <w:color w:val="000000" w:themeColor="text1"/>
                <w:sz w:val="18"/>
                <w:szCs w:val="18"/>
                <w:highlight w:val="yellow"/>
              </w:rPr>
            </w:pPr>
            <w:r w:rsidRPr="008F6436">
              <w:rPr>
                <w:rFonts w:ascii="Times New Roman" w:hAnsi="Times New Roman" w:cs="Times New Roman"/>
                <w:i/>
                <w:color w:val="000000" w:themeColor="text1"/>
                <w:sz w:val="18"/>
                <w:szCs w:val="18"/>
              </w:rPr>
              <w:t>Introduction to Latin epigraphy and methods of its documentation</w:t>
            </w:r>
            <w:r w:rsidRPr="008F6436">
              <w:rPr>
                <w:rFonts w:ascii="Times New Roman" w:hAnsi="Times New Roman" w:cs="Times New Roman"/>
                <w:color w:val="000000" w:themeColor="text1"/>
                <w:sz w:val="18"/>
                <w:szCs w:val="18"/>
              </w:rPr>
              <w:t xml:space="preserve"> </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Ćwiczenia (w terenie)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(2 godziny) </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Poznanie podstawowych formuł stosowanych w inskrypcjach łacińskich (oficjalnych i prywatnych); skróty i ligatury; tytulatura.</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Poznanie metod rejestracji zabytków z napisami (fotografia, estampaże, odpisy).</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pStyle w:val="Akapitzlist"/>
              <w:tabs>
                <w:tab w:val="left" w:pos="0"/>
                <w:tab w:val="left" w:pos="317"/>
              </w:tabs>
              <w:spacing w:after="240" w:line="276" w:lineRule="auto"/>
              <w:ind w:left="0"/>
              <w:jc w:val="both"/>
              <w:rPr>
                <w:rFonts w:ascii="Times New Roman" w:hAnsi="Times New Roman" w:cs="Times New Roman"/>
                <w:color w:val="000000" w:themeColor="text1"/>
                <w:sz w:val="18"/>
                <w:szCs w:val="18"/>
              </w:rPr>
            </w:pPr>
            <w:r w:rsidRPr="008F6436">
              <w:rPr>
                <w:rStyle w:val="st"/>
                <w:rFonts w:ascii="Times New Roman" w:eastAsia="Times New Roman" w:hAnsi="Times New Roman" w:cs="Times New Roman"/>
                <w:color w:val="000000" w:themeColor="text1"/>
                <w:sz w:val="18"/>
                <w:szCs w:val="18"/>
                <w:lang w:val="pl-PL"/>
              </w:rPr>
              <w:t xml:space="preserve">Zastosowanie w praktyce wiedzy na temat metod rejestracji zabytków </w:t>
            </w:r>
            <w:proofErr w:type="spellStart"/>
            <w:r w:rsidRPr="008F6436">
              <w:rPr>
                <w:rStyle w:val="st"/>
                <w:rFonts w:ascii="Times New Roman" w:eastAsia="Times New Roman" w:hAnsi="Times New Roman" w:cs="Times New Roman"/>
                <w:color w:val="000000" w:themeColor="text1"/>
                <w:sz w:val="18"/>
                <w:szCs w:val="18"/>
                <w:lang w:val="pl-PL"/>
              </w:rPr>
              <w:t>inskrybowanych</w:t>
            </w:r>
            <w:proofErr w:type="spellEnd"/>
            <w:r w:rsidRPr="008F6436">
              <w:rPr>
                <w:rStyle w:val="st"/>
                <w:rFonts w:ascii="Times New Roman" w:eastAsia="Times New Roman" w:hAnsi="Times New Roman" w:cs="Times New Roman"/>
                <w:color w:val="000000" w:themeColor="text1"/>
                <w:sz w:val="18"/>
                <w:szCs w:val="18"/>
                <w:lang w:val="pl-PL"/>
              </w:rPr>
              <w:t xml:space="preserve">; </w:t>
            </w:r>
            <w:r w:rsidRPr="008F6436">
              <w:rPr>
                <w:rFonts w:ascii="Times New Roman" w:hAnsi="Times New Roman" w:cs="Times New Roman"/>
                <w:color w:val="000000" w:themeColor="text1"/>
                <w:sz w:val="18"/>
                <w:szCs w:val="18"/>
              </w:rPr>
              <w:t xml:space="preserve"> ćwiczenia z zakresu czytania na podstawie konkretnych przykkładów ze stanowiska Mustis. </w:t>
            </w:r>
          </w:p>
          <w:p w:rsidR="008F6436" w:rsidRPr="008F6436" w:rsidRDefault="008F6436">
            <w:pPr>
              <w:pStyle w:val="Akapitzlist"/>
              <w:tabs>
                <w:tab w:val="left" w:pos="0"/>
                <w:tab w:val="left" w:pos="317"/>
              </w:tabs>
              <w:spacing w:after="240" w:line="276" w:lineRule="auto"/>
              <w:ind w:left="0"/>
              <w:jc w:val="both"/>
              <w:rPr>
                <w:rStyle w:val="st"/>
                <w:rFonts w:eastAsia="Times New Roman"/>
                <w:sz w:val="18"/>
                <w:szCs w:val="18"/>
                <w:lang w:val="pl-PL"/>
              </w:rPr>
            </w:pPr>
            <w:r w:rsidRPr="008F6436">
              <w:rPr>
                <w:rFonts w:ascii="Times New Roman" w:hAnsi="Times New Roman" w:cs="Times New Roman"/>
                <w:color w:val="000000" w:themeColor="text1"/>
                <w:sz w:val="18"/>
                <w:szCs w:val="18"/>
              </w:rPr>
              <w:t>Ć</w:t>
            </w:r>
            <w:proofErr w:type="spellStart"/>
            <w:r w:rsidRPr="008F6436">
              <w:rPr>
                <w:rStyle w:val="st"/>
                <w:rFonts w:ascii="Times New Roman" w:eastAsia="Times New Roman" w:hAnsi="Times New Roman" w:cs="Times New Roman"/>
                <w:color w:val="000000" w:themeColor="text1"/>
                <w:sz w:val="18"/>
                <w:szCs w:val="18"/>
                <w:lang w:val="pl-PL"/>
              </w:rPr>
              <w:t>wiczenia</w:t>
            </w:r>
            <w:proofErr w:type="spellEnd"/>
            <w:r w:rsidRPr="008F6436">
              <w:rPr>
                <w:rStyle w:val="st"/>
                <w:rFonts w:ascii="Times New Roman" w:eastAsia="Times New Roman" w:hAnsi="Times New Roman" w:cs="Times New Roman"/>
                <w:color w:val="000000" w:themeColor="text1"/>
                <w:sz w:val="18"/>
                <w:szCs w:val="18"/>
                <w:lang w:val="pl-PL"/>
              </w:rPr>
              <w:t xml:space="preserve"> uzupełnione lekturą:</w:t>
            </w:r>
          </w:p>
          <w:p w:rsidR="008F6436" w:rsidRPr="008F6436" w:rsidRDefault="008F6436" w:rsidP="008F6436">
            <w:pPr>
              <w:pStyle w:val="Akapitzlist"/>
              <w:numPr>
                <w:ilvl w:val="0"/>
                <w:numId w:val="10"/>
              </w:numPr>
              <w:tabs>
                <w:tab w:val="left" w:pos="0"/>
                <w:tab w:val="left" w:pos="317"/>
              </w:tabs>
              <w:spacing w:after="240" w:line="276" w:lineRule="auto"/>
              <w:ind w:left="0" w:firstLine="0"/>
              <w:jc w:val="both"/>
              <w:rPr>
                <w:rStyle w:val="st"/>
                <w:rFonts w:ascii="Times New Roman" w:eastAsia="Times New Roman" w:hAnsi="Times New Roman" w:cs="Times New Roman"/>
                <w:color w:val="000000" w:themeColor="text1"/>
                <w:sz w:val="18"/>
                <w:szCs w:val="18"/>
                <w:lang w:val="en-GB"/>
              </w:rPr>
            </w:pPr>
            <w:r w:rsidRPr="008F6436">
              <w:rPr>
                <w:rStyle w:val="st"/>
                <w:rFonts w:ascii="Times New Roman" w:eastAsia="Times New Roman" w:hAnsi="Times New Roman" w:cs="Times New Roman"/>
                <w:color w:val="000000" w:themeColor="text1"/>
                <w:sz w:val="18"/>
                <w:szCs w:val="18"/>
                <w:lang w:val="en-GB"/>
              </w:rPr>
              <w:t xml:space="preserve">J. -M. </w:t>
            </w:r>
            <w:proofErr w:type="spellStart"/>
            <w:r w:rsidRPr="008F6436">
              <w:rPr>
                <w:rStyle w:val="st"/>
                <w:rFonts w:ascii="Times New Roman" w:eastAsia="Times New Roman" w:hAnsi="Times New Roman" w:cs="Times New Roman"/>
                <w:color w:val="000000" w:themeColor="text1"/>
                <w:sz w:val="18"/>
                <w:szCs w:val="18"/>
                <w:lang w:val="en-GB"/>
              </w:rPr>
              <w:t>Lassère</w:t>
            </w:r>
            <w:proofErr w:type="spellEnd"/>
            <w:r w:rsidRPr="008F6436">
              <w:rPr>
                <w:rStyle w:val="st"/>
                <w:rFonts w:ascii="Times New Roman" w:eastAsia="Times New Roman" w:hAnsi="Times New Roman" w:cs="Times New Roman"/>
                <w:color w:val="000000" w:themeColor="text1"/>
                <w:sz w:val="18"/>
                <w:szCs w:val="18"/>
                <w:lang w:val="en-GB"/>
              </w:rPr>
              <w:t xml:space="preserve">, </w:t>
            </w:r>
            <w:r w:rsidRPr="008F6436">
              <w:rPr>
                <w:rStyle w:val="st"/>
                <w:rFonts w:ascii="Times New Roman" w:eastAsia="Times New Roman" w:hAnsi="Times New Roman" w:cs="Times New Roman"/>
                <w:i/>
                <w:color w:val="000000" w:themeColor="text1"/>
                <w:sz w:val="18"/>
                <w:szCs w:val="18"/>
                <w:lang w:val="en-GB"/>
              </w:rPr>
              <w:t xml:space="preserve">Manuel </w:t>
            </w:r>
            <w:proofErr w:type="spellStart"/>
            <w:r w:rsidRPr="008F6436">
              <w:rPr>
                <w:rStyle w:val="st"/>
                <w:rFonts w:ascii="Times New Roman" w:eastAsia="Times New Roman" w:hAnsi="Times New Roman" w:cs="Times New Roman"/>
                <w:i/>
                <w:color w:val="000000" w:themeColor="text1"/>
                <w:sz w:val="18"/>
                <w:szCs w:val="18"/>
                <w:lang w:val="en-GB"/>
              </w:rPr>
              <w:t>d</w:t>
            </w:r>
            <w:r w:rsidRPr="008F6436">
              <w:rPr>
                <w:rStyle w:val="st"/>
                <w:rFonts w:ascii="Times New Roman" w:eastAsia="Times New Roman" w:hAnsi="Times New Roman" w:cs="Times New Roman"/>
                <w:color w:val="000000" w:themeColor="text1"/>
                <w:sz w:val="18"/>
                <w:szCs w:val="18"/>
                <w:lang w:val="en-GB"/>
              </w:rPr>
              <w:t>'</w:t>
            </w:r>
            <w:r w:rsidRPr="008F6436">
              <w:rPr>
                <w:rStyle w:val="Uwydatnienie"/>
                <w:rFonts w:eastAsia="Times New Roman"/>
                <w:color w:val="000000" w:themeColor="text1"/>
                <w:sz w:val="18"/>
                <w:szCs w:val="18"/>
                <w:lang w:val="en-GB"/>
              </w:rPr>
              <w:t>épigraphie</w:t>
            </w:r>
            <w:proofErr w:type="spellEnd"/>
            <w:r w:rsidRPr="008F6436">
              <w:rPr>
                <w:rStyle w:val="Uwydatnienie"/>
                <w:rFonts w:eastAsia="Times New Roman"/>
                <w:color w:val="000000" w:themeColor="text1"/>
                <w:sz w:val="18"/>
                <w:szCs w:val="18"/>
                <w:lang w:val="en-GB"/>
              </w:rPr>
              <w:t xml:space="preserve"> romaine</w:t>
            </w:r>
            <w:r w:rsidRPr="008F6436">
              <w:rPr>
                <w:rStyle w:val="st"/>
                <w:rFonts w:ascii="Times New Roman" w:eastAsia="Times New Roman" w:hAnsi="Times New Roman" w:cs="Times New Roman"/>
                <w:color w:val="000000" w:themeColor="text1"/>
                <w:sz w:val="18"/>
                <w:szCs w:val="18"/>
                <w:lang w:val="en-GB"/>
              </w:rPr>
              <w:t xml:space="preserve">, 2 vol., 2005 </w:t>
            </w:r>
          </w:p>
          <w:p w:rsidR="008F6436" w:rsidRPr="008F6436" w:rsidRDefault="008F6436" w:rsidP="008F6436">
            <w:pPr>
              <w:pStyle w:val="Akapitzlist"/>
              <w:numPr>
                <w:ilvl w:val="0"/>
                <w:numId w:val="10"/>
              </w:numPr>
              <w:tabs>
                <w:tab w:val="left" w:pos="0"/>
                <w:tab w:val="left" w:pos="317"/>
              </w:tabs>
              <w:spacing w:after="240" w:line="276" w:lineRule="auto"/>
              <w:ind w:left="0" w:firstLine="0"/>
              <w:jc w:val="both"/>
              <w:rPr>
                <w:sz w:val="18"/>
                <w:szCs w:val="18"/>
                <w:lang w:val="pl-PL"/>
              </w:rPr>
            </w:pPr>
            <w:r w:rsidRPr="008F6436">
              <w:rPr>
                <w:rFonts w:ascii="Times New Roman" w:hAnsi="Times New Roman" w:cs="Times New Roman"/>
                <w:i/>
                <w:color w:val="000000" w:themeColor="text1"/>
                <w:sz w:val="18"/>
                <w:szCs w:val="18"/>
                <w:lang w:val="pl-PL"/>
              </w:rPr>
              <w:t>Vademecum historyka starożytnej Grecji i Rzymu</w:t>
            </w:r>
            <w:r w:rsidRPr="008F6436">
              <w:rPr>
                <w:rFonts w:ascii="Times New Roman" w:hAnsi="Times New Roman" w:cs="Times New Roman"/>
                <w:color w:val="000000" w:themeColor="text1"/>
                <w:sz w:val="18"/>
                <w:szCs w:val="18"/>
                <w:lang w:val="pl-PL"/>
              </w:rPr>
              <w:t xml:space="preserve">, E. </w:t>
            </w:r>
            <w:proofErr w:type="spellStart"/>
            <w:r w:rsidRPr="008F6436">
              <w:rPr>
                <w:rFonts w:ascii="Times New Roman" w:hAnsi="Times New Roman" w:cs="Times New Roman"/>
                <w:color w:val="000000" w:themeColor="text1"/>
                <w:sz w:val="18"/>
                <w:szCs w:val="18"/>
                <w:lang w:val="pl-PL"/>
              </w:rPr>
              <w:t>Wipszycka</w:t>
            </w:r>
            <w:proofErr w:type="spellEnd"/>
            <w:r w:rsidRPr="008F6436">
              <w:rPr>
                <w:rFonts w:ascii="Times New Roman" w:hAnsi="Times New Roman" w:cs="Times New Roman"/>
                <w:color w:val="000000" w:themeColor="text1"/>
                <w:sz w:val="18"/>
                <w:szCs w:val="18"/>
                <w:lang w:val="pl-PL"/>
              </w:rPr>
              <w:t xml:space="preserve"> </w:t>
            </w:r>
            <w:proofErr w:type="spellStart"/>
            <w:r w:rsidRPr="008F6436">
              <w:rPr>
                <w:rFonts w:ascii="Times New Roman" w:hAnsi="Times New Roman" w:cs="Times New Roman"/>
                <w:color w:val="000000" w:themeColor="text1"/>
                <w:sz w:val="18"/>
                <w:szCs w:val="18"/>
                <w:lang w:val="pl-PL"/>
              </w:rPr>
              <w:t>ed</w:t>
            </w:r>
            <w:proofErr w:type="spellEnd"/>
            <w:r w:rsidRPr="008F6436">
              <w:rPr>
                <w:rFonts w:ascii="Times New Roman" w:hAnsi="Times New Roman" w:cs="Times New Roman"/>
                <w:color w:val="000000" w:themeColor="text1"/>
                <w:sz w:val="18"/>
                <w:szCs w:val="18"/>
                <w:lang w:val="pl-PL"/>
              </w:rPr>
              <w:t>, vol. 1-2, Warszawa 1985-1986.</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21.</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Prezentacje prac studen-ckich</w:t>
            </w:r>
          </w:p>
          <w:p w:rsidR="008F6436" w:rsidRPr="008F6436" w:rsidRDefault="008F6436">
            <w:pPr>
              <w:spacing w:after="240"/>
              <w:jc w:val="both"/>
              <w:rPr>
                <w:rFonts w:ascii="Times New Roman" w:hAnsi="Times New Roman" w:cs="Times New Roman"/>
                <w:i/>
                <w:color w:val="000000" w:themeColor="text1"/>
                <w:sz w:val="18"/>
                <w:szCs w:val="18"/>
                <w:highlight w:val="yellow"/>
              </w:rPr>
            </w:pPr>
            <w:r w:rsidRPr="008F6436">
              <w:rPr>
                <w:rFonts w:ascii="Times New Roman" w:hAnsi="Times New Roman" w:cs="Times New Roman"/>
                <w:i/>
                <w:color w:val="000000" w:themeColor="text1"/>
                <w:sz w:val="18"/>
                <w:szCs w:val="18"/>
              </w:rPr>
              <w:t>Presentation of student‘s projects</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Seminarium</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(6 godzin)</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Poznanie szczegółowych problemów dotyczących rzymskiej Afryki Północnej (historii politycznej i społecznej, archeologii, dziejów kultury, antycznych zabytków itp.) na podstawie prezentacji przygotowanych przez studentów, słuchaczy szkoły letniej na temat wcześniej uzgodniony z prowadzącymi. </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Przedstawienie w formie prezentacji mikroprojektów przygotowywanych przez studentów przed rozpoczęciem zajęć szkoły letniej, wspólna dyskusja wszystkich uczestników, ewaluacja przez prowadzących ze wskazaniem ewentualnych braków do uzupełnienia lub zmian do wprowadzenia (w formie pisemnej do przedłożenia po zakończeniu szkoły).</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22.</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Miasto Thugga w okresie rzymskim, późnoanty-cznym i islamskim</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Thugga in Roman, Late Roman and Islamic periods</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Poznanie historii miasta (od czasów punickich po późnorzymskie i arabskie), wpisanego w 1997 na Listę Zabytków UNESCO jako najlepiej „zachowane małe rzymskie miasto w Północnej Afryce“.  </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Wykład uzupełniony lekturą:</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M Khanoussi, S. Ritter , P. v. Rummel, « The German-Tunisian project at Dougga. First results of the excavations south of the Maison du Trifolium », </w:t>
            </w:r>
            <w:r w:rsidRPr="008F6436">
              <w:rPr>
                <w:rFonts w:ascii="Times New Roman" w:hAnsi="Times New Roman" w:cs="Times New Roman"/>
                <w:i/>
                <w:iCs/>
                <w:color w:val="000000" w:themeColor="text1"/>
                <w:sz w:val="18"/>
                <w:szCs w:val="18"/>
              </w:rPr>
              <w:t>Antiquités africaines</w:t>
            </w:r>
            <w:r w:rsidRPr="008F6436">
              <w:rPr>
                <w:rFonts w:ascii="Times New Roman" w:hAnsi="Times New Roman" w:cs="Times New Roman"/>
                <w:color w:val="000000" w:themeColor="text1"/>
                <w:sz w:val="18"/>
                <w:szCs w:val="18"/>
              </w:rPr>
              <w:t xml:space="preserve"> 40, 2004–2005,  43–66</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22. </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Thugga – fenomen rzymskiego miasta</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Thugga - phenomenon of a Roman city</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Ćwiczenia terenowe</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(4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Zrozumienie układu urbanistycznego niewielkiego miasta rzymskiego o doskonale zachowanej infrastrukturze (ulice, zaopatrzenie w wodę, kwartały o </w:t>
            </w:r>
            <w:r w:rsidRPr="008F6436">
              <w:rPr>
                <w:rFonts w:ascii="Times New Roman" w:hAnsi="Times New Roman" w:cs="Times New Roman"/>
                <w:color w:val="000000" w:themeColor="text1"/>
                <w:sz w:val="18"/>
                <w:szCs w:val="18"/>
              </w:rPr>
              <w:lastRenderedPageBreak/>
              <w:t xml:space="preserve">charakterze oficjalnym; zabudowa mieszkalna; nekropole </w:t>
            </w:r>
            <w:r w:rsidRPr="008F6436">
              <w:rPr>
                <w:rFonts w:ascii="Times New Roman" w:hAnsi="Times New Roman" w:cs="Times New Roman"/>
                <w:i/>
                <w:color w:val="000000" w:themeColor="text1"/>
                <w:sz w:val="18"/>
                <w:szCs w:val="18"/>
              </w:rPr>
              <w:t>extra muros</w:t>
            </w:r>
            <w:r w:rsidRPr="008F6436">
              <w:rPr>
                <w:rFonts w:ascii="Times New Roman" w:hAnsi="Times New Roman" w:cs="Times New Roman"/>
                <w:color w:val="000000" w:themeColor="text1"/>
                <w:sz w:val="18"/>
                <w:szCs w:val="18"/>
              </w:rPr>
              <w:t>.</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Oprowadzanie po stanowisku, ćwiczenia z elementami konwersatorium</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20.</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Kartagina punicka, rzym-ska i arabska – kulturowy tygiel</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 xml:space="preserve">Carthage – a melting pot at the crossroad of cultures: Phoenician, Ro-man and Arab ones. </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 (1 godzina)</w:t>
            </w:r>
          </w:p>
        </w:tc>
        <w:tc>
          <w:tcPr>
            <w:tcW w:w="998" w:type="pct"/>
            <w:tcBorders>
              <w:top w:val="single" w:sz="4" w:space="0" w:color="auto"/>
              <w:left w:val="single" w:sz="4" w:space="0" w:color="auto"/>
              <w:bottom w:val="single" w:sz="4" w:space="0" w:color="auto"/>
              <w:right w:val="single" w:sz="4" w:space="0" w:color="auto"/>
            </w:tcBorders>
          </w:tcPr>
          <w:p w:rsidR="008F6436" w:rsidRPr="008F6436" w:rsidRDefault="008F6436">
            <w:pPr>
              <w:pStyle w:val="NormalnyWeb"/>
              <w:spacing w:after="240" w:afterAutospacing="0"/>
              <w:jc w:val="both"/>
              <w:rPr>
                <w:color w:val="000000" w:themeColor="text1"/>
                <w:sz w:val="18"/>
                <w:szCs w:val="18"/>
                <w:lang w:val="cs-CZ"/>
              </w:rPr>
            </w:pPr>
            <w:r w:rsidRPr="008F6436">
              <w:rPr>
                <w:color w:val="000000" w:themeColor="text1"/>
                <w:sz w:val="18"/>
                <w:szCs w:val="18"/>
                <w:lang w:val="cs-CZ"/>
              </w:rPr>
              <w:t>Poznanie złożonych dziejów Kartaginy, miasta portowego założonego przez Fenicjan  z Tyru w IX w. p.n.e,  później stolicy imperium kartagińskiego, zburzonej przez Rzymian i ponownie, jako rzymska kolonia, przez nich odbudowanej; zrozumienie znaczenia miasta dla całego Śródziemnomorza, zwłaszcza w perspektywie historii Rzymu (politycznej i gospodarczej).</w:t>
            </w:r>
          </w:p>
          <w:p w:rsidR="008F6436" w:rsidRPr="008F6436" w:rsidRDefault="008F6436">
            <w:pPr>
              <w:spacing w:after="240"/>
              <w:jc w:val="both"/>
              <w:rPr>
                <w:rFonts w:ascii="Times New Roman" w:hAnsi="Times New Roman" w:cs="Times New Roman"/>
                <w:color w:val="000000" w:themeColor="text1"/>
                <w:sz w:val="18"/>
                <w:szCs w:val="18"/>
                <w:lang w:val="pl-PL"/>
              </w:rPr>
            </w:pP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tabs>
                <w:tab w:val="left" w:pos="317"/>
              </w:tabs>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Wykład uzupełniony lekturą:</w:t>
            </w:r>
          </w:p>
          <w:p w:rsidR="008F6436" w:rsidRPr="008F6436" w:rsidRDefault="008F6436" w:rsidP="008F6436">
            <w:pPr>
              <w:pStyle w:val="Akapitzlist"/>
              <w:numPr>
                <w:ilvl w:val="0"/>
                <w:numId w:val="11"/>
              </w:numPr>
              <w:tabs>
                <w:tab w:val="left" w:pos="317"/>
              </w:tabs>
              <w:spacing w:after="240"/>
              <w:ind w:left="34" w:hanging="34"/>
              <w:jc w:val="both"/>
              <w:rPr>
                <w:rFonts w:ascii="Times New Roman" w:eastAsia="Times New Roman" w:hAnsi="Times New Roman" w:cs="Times New Roman"/>
                <w:color w:val="000000" w:themeColor="text1"/>
                <w:sz w:val="18"/>
                <w:szCs w:val="18"/>
                <w:lang w:val="en-GB"/>
              </w:rPr>
            </w:pPr>
            <w:r w:rsidRPr="008F6436">
              <w:rPr>
                <w:rFonts w:ascii="Times New Roman" w:eastAsia="Times New Roman" w:hAnsi="Times New Roman" w:cs="Times New Roman"/>
                <w:color w:val="000000" w:themeColor="text1"/>
                <w:sz w:val="18"/>
                <w:szCs w:val="18"/>
                <w:lang w:val="en-GB"/>
              </w:rPr>
              <w:t xml:space="preserve">R. </w:t>
            </w:r>
            <w:r w:rsidRPr="008F6436">
              <w:rPr>
                <w:rFonts w:ascii="Times New Roman" w:eastAsia="Times New Roman" w:hAnsi="Times New Roman" w:cs="Times New Roman"/>
                <w:iCs/>
                <w:color w:val="000000" w:themeColor="text1"/>
                <w:sz w:val="18"/>
                <w:szCs w:val="18"/>
                <w:lang w:val="en-GB"/>
              </w:rPr>
              <w:t>Miles,</w:t>
            </w:r>
            <w:r w:rsidRPr="008F6436">
              <w:rPr>
                <w:rFonts w:ascii="Times New Roman" w:eastAsia="Times New Roman" w:hAnsi="Times New Roman" w:cs="Times New Roman"/>
                <w:i/>
                <w:iCs/>
                <w:color w:val="000000" w:themeColor="text1"/>
                <w:sz w:val="18"/>
                <w:szCs w:val="18"/>
                <w:lang w:val="en-GB"/>
              </w:rPr>
              <w:t xml:space="preserve"> Carthage Must Be Destroyed: The Rise and Fall of an Ancient Civilization, </w:t>
            </w:r>
            <w:r w:rsidRPr="008F6436">
              <w:rPr>
                <w:rFonts w:ascii="Times New Roman" w:eastAsia="Times New Roman" w:hAnsi="Times New Roman" w:cs="Times New Roman"/>
                <w:iCs/>
                <w:color w:val="000000" w:themeColor="text1"/>
                <w:sz w:val="18"/>
                <w:szCs w:val="18"/>
                <w:lang w:val="en-GB"/>
              </w:rPr>
              <w:t>London 2011</w:t>
            </w:r>
          </w:p>
          <w:p w:rsidR="008F6436" w:rsidRPr="008F6436" w:rsidRDefault="008F6436" w:rsidP="008F6436">
            <w:pPr>
              <w:pStyle w:val="Akapitzlist"/>
              <w:numPr>
                <w:ilvl w:val="0"/>
                <w:numId w:val="11"/>
              </w:numPr>
              <w:tabs>
                <w:tab w:val="left" w:pos="317"/>
              </w:tabs>
              <w:spacing w:after="240"/>
              <w:ind w:left="34" w:hanging="34"/>
              <w:jc w:val="both"/>
              <w:rPr>
                <w:rFonts w:ascii="Times New Roman" w:hAnsi="Times New Roman" w:cs="Times New Roman"/>
                <w:color w:val="000000" w:themeColor="text1"/>
                <w:sz w:val="18"/>
                <w:szCs w:val="18"/>
              </w:rPr>
            </w:pPr>
            <w:r w:rsidRPr="008F6436">
              <w:rPr>
                <w:rFonts w:ascii="Times New Roman" w:eastAsia="Times New Roman" w:hAnsi="Times New Roman" w:cs="Times New Roman"/>
                <w:iCs/>
                <w:color w:val="000000" w:themeColor="text1"/>
                <w:sz w:val="18"/>
                <w:szCs w:val="18"/>
                <w:lang w:val="en-GB"/>
              </w:rPr>
              <w:t>D. Soren et al.,</w:t>
            </w:r>
            <w:r w:rsidRPr="008F6436">
              <w:rPr>
                <w:rFonts w:ascii="Times New Roman" w:eastAsia="Times New Roman" w:hAnsi="Times New Roman" w:cs="Times New Roman"/>
                <w:i/>
                <w:iCs/>
                <w:color w:val="000000" w:themeColor="text1"/>
                <w:sz w:val="18"/>
                <w:szCs w:val="18"/>
                <w:lang w:val="en-GB"/>
              </w:rPr>
              <w:t xml:space="preserve"> Carthage: Uncovering the Mysteries and </w:t>
            </w:r>
            <w:proofErr w:type="spellStart"/>
            <w:r w:rsidRPr="008F6436">
              <w:rPr>
                <w:rFonts w:ascii="Times New Roman" w:eastAsia="Times New Roman" w:hAnsi="Times New Roman" w:cs="Times New Roman"/>
                <w:i/>
                <w:iCs/>
                <w:color w:val="000000" w:themeColor="text1"/>
                <w:sz w:val="18"/>
                <w:szCs w:val="18"/>
                <w:lang w:val="en-GB"/>
              </w:rPr>
              <w:t>Splendors</w:t>
            </w:r>
            <w:proofErr w:type="spellEnd"/>
            <w:r w:rsidRPr="008F6436">
              <w:rPr>
                <w:rFonts w:ascii="Times New Roman" w:eastAsia="Times New Roman" w:hAnsi="Times New Roman" w:cs="Times New Roman"/>
                <w:i/>
                <w:iCs/>
                <w:color w:val="000000" w:themeColor="text1"/>
                <w:sz w:val="18"/>
                <w:szCs w:val="18"/>
                <w:lang w:val="en-GB"/>
              </w:rPr>
              <w:t xml:space="preserve"> of Ancient Tunisia, </w:t>
            </w:r>
            <w:r w:rsidRPr="008F6436">
              <w:rPr>
                <w:rFonts w:ascii="Times New Roman" w:eastAsia="Times New Roman" w:hAnsi="Times New Roman" w:cs="Times New Roman"/>
                <w:iCs/>
                <w:color w:val="000000" w:themeColor="text1"/>
                <w:sz w:val="18"/>
                <w:szCs w:val="18"/>
                <w:lang w:val="en-GB"/>
              </w:rPr>
              <w:t>New York 1990</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20.</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Kartagina – tygiel kultu-rowy</w:t>
            </w:r>
          </w:p>
          <w:p w:rsidR="008F6436" w:rsidRPr="008F6436" w:rsidRDefault="008F6436">
            <w:pPr>
              <w:spacing w:after="240"/>
              <w:jc w:val="both"/>
              <w:rPr>
                <w:rFonts w:ascii="Times New Roman" w:hAnsi="Times New Roman" w:cs="Times New Roman"/>
                <w:i/>
                <w:color w:val="000000" w:themeColor="text1"/>
                <w:sz w:val="18"/>
                <w:szCs w:val="18"/>
              </w:rPr>
            </w:pPr>
            <w:r w:rsidRPr="008F6436">
              <w:rPr>
                <w:rFonts w:ascii="Times New Roman" w:hAnsi="Times New Roman" w:cs="Times New Roman"/>
                <w:i/>
                <w:color w:val="000000" w:themeColor="text1"/>
                <w:sz w:val="18"/>
                <w:szCs w:val="18"/>
              </w:rPr>
              <w:t xml:space="preserve">Carthage – a melting pot at the crossroad of cultures. </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Ćwiczenia terenowe</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 (4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highlight w:val="magenta"/>
              </w:rPr>
            </w:pPr>
            <w:r w:rsidRPr="008F6436">
              <w:rPr>
                <w:rFonts w:ascii="Times New Roman" w:hAnsi="Times New Roman" w:cs="Times New Roman"/>
                <w:color w:val="000000" w:themeColor="text1"/>
                <w:sz w:val="18"/>
                <w:szCs w:val="18"/>
              </w:rPr>
              <w:t>Zrozumienie charakteru zabudowy stanowiska archeologicznego o wielowiekowej, bez mała nieprzerwanej, tradycji osadniczej (od IV w. pne do VII w. ne); poznanie układu urbanistycznego dużego miasta portowego.</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Oprowadzanie po stanowisku, ćwiczenia z element-ami konwersatorium</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21.</w:t>
            </w:r>
          </w:p>
        </w:tc>
        <w:tc>
          <w:tcPr>
            <w:tcW w:w="869" w:type="pct"/>
            <w:tcBorders>
              <w:top w:val="single" w:sz="4" w:space="0" w:color="auto"/>
              <w:left w:val="single" w:sz="4" w:space="0" w:color="auto"/>
              <w:bottom w:val="single" w:sz="4" w:space="0" w:color="auto"/>
              <w:right w:val="single" w:sz="4" w:space="0" w:color="auto"/>
            </w:tcBorders>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Mozaiki jako źródło wiedzy o życiu codziennym w Afryce Północnej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i/>
                <w:color w:val="000000" w:themeColor="text1"/>
                <w:sz w:val="18"/>
                <w:szCs w:val="18"/>
              </w:rPr>
              <w:t>Daily life on Roman mosaics from North Africa</w:t>
            </w:r>
          </w:p>
          <w:p w:rsidR="008F6436" w:rsidRPr="008F6436" w:rsidRDefault="008F6436">
            <w:pPr>
              <w:spacing w:after="240"/>
              <w:jc w:val="both"/>
              <w:rPr>
                <w:rFonts w:ascii="Times New Roman" w:hAnsi="Times New Roman" w:cs="Times New Roman"/>
                <w:color w:val="000000" w:themeColor="text1"/>
                <w:sz w:val="18"/>
                <w:szCs w:val="18"/>
              </w:rPr>
            </w:pP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Warsztaty muzealne</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(4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Poznanie techniki układania mozaik i ich ikonografii na podstawie obiektów w muzeum Bardo w Tunisie (ekspozycja  i magazyn); analiza przedstawień dotyczących życia codziennego (domy, sceny produkcji rolniczej; gry i zabawy; ćwiczenia sportowe).</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pStyle w:val="Akapitzlist"/>
              <w:tabs>
                <w:tab w:val="left" w:pos="0"/>
              </w:tabs>
              <w:spacing w:after="240" w:line="276" w:lineRule="auto"/>
              <w:ind w:left="-108"/>
              <w:jc w:val="both"/>
              <w:rPr>
                <w:rFonts w:ascii="Times New Roman" w:eastAsia="Times New Roman" w:hAnsi="Times New Roman" w:cs="Times New Roman"/>
                <w:color w:val="000000" w:themeColor="text1"/>
                <w:sz w:val="18"/>
                <w:szCs w:val="18"/>
                <w:lang w:val="pl-PL"/>
              </w:rPr>
            </w:pPr>
            <w:r w:rsidRPr="008F6436">
              <w:rPr>
                <w:rFonts w:ascii="Times New Roman" w:eastAsia="Times New Roman" w:hAnsi="Times New Roman" w:cs="Times New Roman"/>
                <w:color w:val="000000" w:themeColor="text1"/>
                <w:sz w:val="18"/>
                <w:szCs w:val="18"/>
                <w:lang w:val="pl-PL"/>
              </w:rPr>
              <w:t>Warsztaty z wykorzystaniem oryginalnych zabytków; ćwiczenia poprzedzone lektura wybranych rozdziałów:</w:t>
            </w:r>
          </w:p>
          <w:p w:rsidR="008F6436" w:rsidRPr="008F6436" w:rsidRDefault="008F6436">
            <w:pPr>
              <w:pStyle w:val="Akapitzlist"/>
              <w:tabs>
                <w:tab w:val="left" w:pos="0"/>
              </w:tabs>
              <w:spacing w:after="240" w:line="276" w:lineRule="auto"/>
              <w:ind w:left="-108"/>
              <w:jc w:val="both"/>
              <w:rPr>
                <w:rFonts w:ascii="Times New Roman" w:eastAsia="Times New Roman" w:hAnsi="Times New Roman" w:cs="Times New Roman"/>
                <w:color w:val="000000" w:themeColor="text1"/>
                <w:sz w:val="18"/>
                <w:szCs w:val="18"/>
                <w:lang w:val="en-GB"/>
              </w:rPr>
            </w:pPr>
            <w:r w:rsidRPr="008F6436">
              <w:rPr>
                <w:rFonts w:ascii="Times New Roman" w:eastAsia="Times New Roman" w:hAnsi="Times New Roman" w:cs="Times New Roman"/>
                <w:color w:val="000000" w:themeColor="text1"/>
                <w:sz w:val="18"/>
                <w:szCs w:val="18"/>
                <w:lang w:val="en-GB"/>
              </w:rPr>
              <w:t xml:space="preserve">1. M. Yacoub, </w:t>
            </w:r>
            <w:proofErr w:type="spellStart"/>
            <w:r w:rsidRPr="008F6436">
              <w:rPr>
                <w:rFonts w:ascii="Times New Roman" w:eastAsia="Times New Roman" w:hAnsi="Times New Roman" w:cs="Times New Roman"/>
                <w:i/>
                <w:iCs/>
                <w:color w:val="000000" w:themeColor="text1"/>
                <w:sz w:val="18"/>
                <w:szCs w:val="18"/>
                <w:lang w:val="en-GB"/>
              </w:rPr>
              <w:t>Splendeurs</w:t>
            </w:r>
            <w:proofErr w:type="spellEnd"/>
            <w:r w:rsidRPr="008F6436">
              <w:rPr>
                <w:rFonts w:ascii="Times New Roman" w:eastAsia="Times New Roman" w:hAnsi="Times New Roman" w:cs="Times New Roman"/>
                <w:i/>
                <w:iCs/>
                <w:color w:val="000000" w:themeColor="text1"/>
                <w:sz w:val="18"/>
                <w:szCs w:val="18"/>
                <w:lang w:val="en-GB"/>
              </w:rPr>
              <w:t xml:space="preserve"> des </w:t>
            </w:r>
            <w:proofErr w:type="spellStart"/>
            <w:r w:rsidRPr="008F6436">
              <w:rPr>
                <w:rFonts w:ascii="Times New Roman" w:eastAsia="Times New Roman" w:hAnsi="Times New Roman" w:cs="Times New Roman"/>
                <w:i/>
                <w:iCs/>
                <w:color w:val="000000" w:themeColor="text1"/>
                <w:sz w:val="18"/>
                <w:szCs w:val="18"/>
                <w:lang w:val="en-GB"/>
              </w:rPr>
              <w:t>mosaïques</w:t>
            </w:r>
            <w:proofErr w:type="spellEnd"/>
            <w:r w:rsidRPr="008F6436">
              <w:rPr>
                <w:rFonts w:ascii="Times New Roman" w:eastAsia="Times New Roman" w:hAnsi="Times New Roman" w:cs="Times New Roman"/>
                <w:i/>
                <w:iCs/>
                <w:color w:val="000000" w:themeColor="text1"/>
                <w:sz w:val="18"/>
                <w:szCs w:val="18"/>
                <w:lang w:val="en-GB"/>
              </w:rPr>
              <w:t xml:space="preserve"> de </w:t>
            </w:r>
            <w:proofErr w:type="spellStart"/>
            <w:r w:rsidRPr="008F6436">
              <w:rPr>
                <w:rFonts w:ascii="Times New Roman" w:eastAsia="Times New Roman" w:hAnsi="Times New Roman" w:cs="Times New Roman"/>
                <w:i/>
                <w:iCs/>
                <w:color w:val="000000" w:themeColor="text1"/>
                <w:sz w:val="18"/>
                <w:szCs w:val="18"/>
                <w:lang w:val="en-GB"/>
              </w:rPr>
              <w:t>Tunisie</w:t>
            </w:r>
            <w:proofErr w:type="spellEnd"/>
            <w:r w:rsidRPr="008F6436">
              <w:rPr>
                <w:rFonts w:ascii="Times New Roman" w:eastAsia="Times New Roman" w:hAnsi="Times New Roman" w:cs="Times New Roman"/>
                <w:color w:val="000000" w:themeColor="text1"/>
                <w:sz w:val="18"/>
                <w:szCs w:val="18"/>
                <w:lang w:val="en-GB"/>
              </w:rPr>
              <w:t>, Tunis 1995</w:t>
            </w:r>
          </w:p>
          <w:p w:rsidR="008F6436" w:rsidRPr="008F6436" w:rsidRDefault="008F6436">
            <w:pPr>
              <w:pStyle w:val="Akapitzlist"/>
              <w:tabs>
                <w:tab w:val="left" w:pos="0"/>
              </w:tabs>
              <w:spacing w:after="240" w:line="276" w:lineRule="auto"/>
              <w:ind w:left="-108"/>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2. K. Dunbabin, </w:t>
            </w:r>
            <w:r w:rsidRPr="008F6436">
              <w:rPr>
                <w:rFonts w:ascii="Times New Roman" w:hAnsi="Times New Roman" w:cs="Times New Roman"/>
                <w:i/>
                <w:color w:val="000000" w:themeColor="text1"/>
                <w:sz w:val="18"/>
                <w:szCs w:val="18"/>
              </w:rPr>
              <w:t>The mosaics of Roman Africa</w:t>
            </w:r>
            <w:r w:rsidRPr="008F6436">
              <w:rPr>
                <w:rFonts w:ascii="Times New Roman" w:hAnsi="Times New Roman" w:cs="Times New Roman"/>
                <w:color w:val="000000" w:themeColor="text1"/>
                <w:sz w:val="18"/>
                <w:szCs w:val="18"/>
              </w:rPr>
              <w:t>, Oxford 1978</w:t>
            </w:r>
          </w:p>
          <w:p w:rsidR="008F6436" w:rsidRPr="008F6436" w:rsidRDefault="008F6436">
            <w:pPr>
              <w:pStyle w:val="Akapitzlist"/>
              <w:tabs>
                <w:tab w:val="left" w:pos="0"/>
              </w:tabs>
              <w:spacing w:after="240" w:line="276" w:lineRule="auto"/>
              <w:ind w:left="-108"/>
              <w:jc w:val="both"/>
              <w:rPr>
                <w:rFonts w:ascii="Times New Roman" w:hAnsi="Times New Roman" w:cs="Times New Roman"/>
                <w:color w:val="000000" w:themeColor="text1"/>
                <w:sz w:val="18"/>
                <w:szCs w:val="18"/>
                <w:lang w:val="en-GB"/>
              </w:rPr>
            </w:pPr>
            <w:r w:rsidRPr="008F6436">
              <w:rPr>
                <w:rFonts w:ascii="Times New Roman" w:hAnsi="Times New Roman" w:cs="Times New Roman"/>
                <w:color w:val="000000" w:themeColor="text1"/>
                <w:sz w:val="18"/>
                <w:szCs w:val="18"/>
              </w:rPr>
              <w:t xml:space="preserve">3. K. Dunbabin, </w:t>
            </w:r>
            <w:r w:rsidRPr="008F6436">
              <w:rPr>
                <w:rFonts w:ascii="Times New Roman" w:hAnsi="Times New Roman" w:cs="Times New Roman"/>
                <w:i/>
                <w:color w:val="000000" w:themeColor="text1"/>
                <w:sz w:val="18"/>
                <w:szCs w:val="18"/>
              </w:rPr>
              <w:t>Mosaics of the Greek and Roman World</w:t>
            </w:r>
            <w:r w:rsidRPr="008F6436">
              <w:rPr>
                <w:rFonts w:ascii="Times New Roman" w:hAnsi="Times New Roman" w:cs="Times New Roman"/>
                <w:color w:val="000000" w:themeColor="text1"/>
                <w:sz w:val="18"/>
                <w:szCs w:val="18"/>
              </w:rPr>
              <w:t>, Cambridge 2001</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22.</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Ewaluacja SL</w:t>
            </w:r>
          </w:p>
          <w:p w:rsidR="008F6436" w:rsidRPr="008F6436" w:rsidRDefault="008F6436">
            <w:pPr>
              <w:spacing w:after="240"/>
              <w:jc w:val="both"/>
              <w:rPr>
                <w:rFonts w:ascii="Times New Roman" w:hAnsi="Times New Roman" w:cs="Times New Roman"/>
                <w:i/>
                <w:color w:val="000000" w:themeColor="text1"/>
                <w:sz w:val="18"/>
                <w:szCs w:val="18"/>
                <w:highlight w:val="yellow"/>
              </w:rPr>
            </w:pPr>
            <w:r w:rsidRPr="008F6436">
              <w:rPr>
                <w:rFonts w:ascii="Times New Roman" w:hAnsi="Times New Roman" w:cs="Times New Roman"/>
                <w:i/>
                <w:color w:val="000000" w:themeColor="text1"/>
                <w:sz w:val="18"/>
                <w:szCs w:val="18"/>
              </w:rPr>
              <w:lastRenderedPageBreak/>
              <w:t>Evaluation of the summer school</w:t>
            </w:r>
          </w:p>
        </w:tc>
        <w:tc>
          <w:tcPr>
            <w:tcW w:w="66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 xml:space="preserve">Seminarium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(2 godziny)</w:t>
            </w: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 xml:space="preserve">Sprawdzenie znajomości </w:t>
            </w:r>
            <w:r w:rsidRPr="008F6436">
              <w:rPr>
                <w:rFonts w:ascii="Times New Roman" w:hAnsi="Times New Roman" w:cs="Times New Roman"/>
                <w:color w:val="000000" w:themeColor="text1"/>
                <w:sz w:val="18"/>
                <w:szCs w:val="18"/>
              </w:rPr>
              <w:lastRenderedPageBreak/>
              <w:t xml:space="preserve">anglojezycznej terminologii; ocena poziomu wiedzy uczestników i ich kompetencji językowych. </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lastRenderedPageBreak/>
              <w:t>Test (z użyciem anglojęzycznej terminologii)</w:t>
            </w:r>
          </w:p>
        </w:tc>
      </w:tr>
      <w:tr w:rsidR="008F6436" w:rsidRPr="008F6436" w:rsidTr="008F6436">
        <w:tc>
          <w:tcPr>
            <w:tcW w:w="265"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23.</w:t>
            </w:r>
          </w:p>
        </w:tc>
        <w:tc>
          <w:tcPr>
            <w:tcW w:w="869"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wprowadzający – regulamin i harmonogram zajęć Zapoznanie z zasadami zamieszkania, obowią-zującym regulaminem i szczegółowym harmono-gramem zajęć w Mustis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i/>
                <w:color w:val="000000" w:themeColor="text1"/>
                <w:sz w:val="18"/>
                <w:szCs w:val="18"/>
              </w:rPr>
              <w:t>Introductory lecture - Mustis summer school detailed schedule and rule</w:t>
            </w:r>
            <w:r w:rsidRPr="008F6436">
              <w:rPr>
                <w:rFonts w:ascii="Times New Roman" w:hAnsi="Times New Roman" w:cs="Times New Roman"/>
                <w:color w:val="000000" w:themeColor="text1"/>
                <w:sz w:val="18"/>
                <w:szCs w:val="18"/>
              </w:rPr>
              <w:t>s</w:t>
            </w:r>
          </w:p>
        </w:tc>
        <w:tc>
          <w:tcPr>
            <w:tcW w:w="668" w:type="pct"/>
            <w:tcBorders>
              <w:top w:val="single" w:sz="4" w:space="0" w:color="auto"/>
              <w:left w:val="single" w:sz="4" w:space="0" w:color="auto"/>
              <w:bottom w:val="single" w:sz="4" w:space="0" w:color="auto"/>
              <w:right w:val="single" w:sz="4" w:space="0" w:color="auto"/>
            </w:tcBorders>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 xml:space="preserve">Wykład </w:t>
            </w:r>
          </w:p>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(2 godz)</w:t>
            </w:r>
          </w:p>
          <w:p w:rsidR="008F6436" w:rsidRPr="008F6436" w:rsidRDefault="008F6436">
            <w:pPr>
              <w:spacing w:after="240"/>
              <w:jc w:val="both"/>
              <w:rPr>
                <w:rFonts w:ascii="Times New Roman" w:hAnsi="Times New Roman" w:cs="Times New Roman"/>
                <w:color w:val="000000" w:themeColor="text1"/>
                <w:sz w:val="18"/>
                <w:szCs w:val="18"/>
              </w:rPr>
            </w:pPr>
          </w:p>
        </w:tc>
        <w:tc>
          <w:tcPr>
            <w:tcW w:w="998"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Poznanie reguł obowiązujących uczestników zajęć szkoły letniej, regulaminu i zasad zamieszkania, szczegółowego rozkładu dnia, harmonogramu zajęć, zakresu obowiązków, przedstawienie kadry.</w:t>
            </w:r>
          </w:p>
        </w:tc>
        <w:tc>
          <w:tcPr>
            <w:tcW w:w="2201" w:type="pct"/>
            <w:tcBorders>
              <w:top w:val="single" w:sz="4" w:space="0" w:color="auto"/>
              <w:left w:val="single" w:sz="4" w:space="0" w:color="auto"/>
              <w:bottom w:val="single" w:sz="4" w:space="0" w:color="auto"/>
              <w:right w:val="single" w:sz="4" w:space="0" w:color="auto"/>
            </w:tcBorders>
            <w:hideMark/>
          </w:tcPr>
          <w:p w:rsidR="008F6436" w:rsidRPr="008F6436" w:rsidRDefault="008F6436">
            <w:pPr>
              <w:spacing w:after="240"/>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Wykład z elementami konwersatorium.</w:t>
            </w:r>
          </w:p>
        </w:tc>
      </w:tr>
    </w:tbl>
    <w:p w:rsidR="008F6436" w:rsidRPr="008F6436" w:rsidRDefault="008F6436" w:rsidP="008F6436">
      <w:pPr>
        <w:jc w:val="both"/>
        <w:rPr>
          <w:rFonts w:ascii="Times New Roman" w:hAnsi="Times New Roman" w:cs="Times New Roman"/>
          <w:color w:val="000000" w:themeColor="text1"/>
          <w:sz w:val="18"/>
          <w:szCs w:val="18"/>
        </w:rPr>
      </w:pPr>
    </w:p>
    <w:p w:rsidR="008F6436" w:rsidRPr="008F6436" w:rsidRDefault="008F6436" w:rsidP="008F6436">
      <w:pPr>
        <w:jc w:val="both"/>
        <w:rPr>
          <w:rFonts w:ascii="Times New Roman" w:hAnsi="Times New Roman" w:cs="Times New Roman"/>
          <w:color w:val="000000" w:themeColor="text1"/>
          <w:sz w:val="18"/>
          <w:szCs w:val="18"/>
        </w:rPr>
      </w:pPr>
      <w:r w:rsidRPr="008F6436">
        <w:rPr>
          <w:rFonts w:ascii="Times New Roman" w:hAnsi="Times New Roman" w:cs="Times New Roman"/>
          <w:b/>
          <w:color w:val="000000" w:themeColor="text1"/>
          <w:sz w:val="18"/>
          <w:szCs w:val="18"/>
        </w:rPr>
        <w:t>95</w:t>
      </w:r>
      <w:r w:rsidRPr="008F6436">
        <w:rPr>
          <w:rFonts w:ascii="Times New Roman" w:hAnsi="Times New Roman" w:cs="Times New Roman"/>
          <w:color w:val="000000" w:themeColor="text1"/>
          <w:sz w:val="18"/>
          <w:szCs w:val="18"/>
        </w:rPr>
        <w:t xml:space="preserve"> godzin: </w:t>
      </w:r>
      <w:r w:rsidRPr="008F6436">
        <w:rPr>
          <w:rFonts w:ascii="Times New Roman" w:hAnsi="Times New Roman" w:cs="Times New Roman"/>
          <w:b/>
          <w:color w:val="000000" w:themeColor="text1"/>
          <w:sz w:val="18"/>
          <w:szCs w:val="18"/>
        </w:rPr>
        <w:t>29</w:t>
      </w:r>
      <w:r w:rsidRPr="008F6436">
        <w:rPr>
          <w:rFonts w:ascii="Times New Roman" w:hAnsi="Times New Roman" w:cs="Times New Roman"/>
          <w:color w:val="000000" w:themeColor="text1"/>
          <w:sz w:val="18"/>
          <w:szCs w:val="18"/>
        </w:rPr>
        <w:t xml:space="preserve"> godzin wykładów, </w:t>
      </w:r>
      <w:r w:rsidRPr="008F6436">
        <w:rPr>
          <w:rFonts w:ascii="Times New Roman" w:hAnsi="Times New Roman" w:cs="Times New Roman"/>
          <w:b/>
          <w:color w:val="000000" w:themeColor="text1"/>
          <w:sz w:val="18"/>
          <w:szCs w:val="18"/>
        </w:rPr>
        <w:t>18</w:t>
      </w:r>
      <w:r w:rsidRPr="008F6436">
        <w:rPr>
          <w:rFonts w:ascii="Times New Roman" w:hAnsi="Times New Roman" w:cs="Times New Roman"/>
          <w:color w:val="000000" w:themeColor="text1"/>
          <w:sz w:val="18"/>
          <w:szCs w:val="18"/>
        </w:rPr>
        <w:t xml:space="preserve"> godzin seminariów i konwersatoriów,  </w:t>
      </w:r>
      <w:r w:rsidRPr="008F6436">
        <w:rPr>
          <w:rFonts w:ascii="Times New Roman" w:hAnsi="Times New Roman" w:cs="Times New Roman"/>
          <w:b/>
          <w:color w:val="000000" w:themeColor="text1"/>
          <w:sz w:val="18"/>
          <w:szCs w:val="18"/>
        </w:rPr>
        <w:t xml:space="preserve">8 </w:t>
      </w:r>
      <w:r w:rsidRPr="008F6436">
        <w:rPr>
          <w:rFonts w:ascii="Times New Roman" w:hAnsi="Times New Roman" w:cs="Times New Roman"/>
          <w:color w:val="000000" w:themeColor="text1"/>
          <w:sz w:val="18"/>
          <w:szCs w:val="18"/>
        </w:rPr>
        <w:t xml:space="preserve">godzin ćwiczeń w sali i </w:t>
      </w:r>
      <w:r w:rsidRPr="008F6436">
        <w:rPr>
          <w:rFonts w:ascii="Times New Roman" w:hAnsi="Times New Roman" w:cs="Times New Roman"/>
          <w:b/>
          <w:color w:val="000000" w:themeColor="text1"/>
          <w:sz w:val="18"/>
          <w:szCs w:val="18"/>
        </w:rPr>
        <w:t>40</w:t>
      </w:r>
      <w:r w:rsidRPr="008F6436">
        <w:rPr>
          <w:rFonts w:ascii="Times New Roman" w:hAnsi="Times New Roman" w:cs="Times New Roman"/>
          <w:color w:val="000000" w:themeColor="text1"/>
          <w:sz w:val="18"/>
          <w:szCs w:val="18"/>
        </w:rPr>
        <w:t xml:space="preserve"> godzin zajęć poza salą (w tym 4 godziny w muzeum)</w:t>
      </w:r>
    </w:p>
    <w:p w:rsidR="008F6436" w:rsidRPr="008F6436" w:rsidRDefault="008F6436" w:rsidP="008F6436">
      <w:pPr>
        <w:jc w:val="both"/>
        <w:rPr>
          <w:rFonts w:ascii="Times New Roman" w:hAnsi="Times New Roman" w:cs="Times New Roman"/>
          <w:color w:val="000000" w:themeColor="text1"/>
          <w:sz w:val="18"/>
          <w:szCs w:val="18"/>
        </w:rPr>
      </w:pPr>
    </w:p>
    <w:p w:rsidR="008F6436" w:rsidRPr="008F6436" w:rsidRDefault="008F6436" w:rsidP="008F6436">
      <w:pPr>
        <w:jc w:val="both"/>
        <w:rPr>
          <w:rFonts w:ascii="Times New Roman" w:hAnsi="Times New Roman" w:cs="Times New Roman"/>
          <w:color w:val="000000" w:themeColor="text1"/>
          <w:sz w:val="18"/>
          <w:szCs w:val="18"/>
        </w:rPr>
      </w:pPr>
    </w:p>
    <w:p w:rsidR="008F6436" w:rsidRPr="008F6436" w:rsidRDefault="008F6436" w:rsidP="008F6436">
      <w:pPr>
        <w:jc w:val="both"/>
        <w:rPr>
          <w:rFonts w:ascii="Times New Roman" w:hAnsi="Times New Roman" w:cs="Times New Roman"/>
          <w:color w:val="000000" w:themeColor="text1"/>
          <w:sz w:val="18"/>
          <w:szCs w:val="18"/>
        </w:rPr>
      </w:pPr>
      <w:r w:rsidRPr="008F6436">
        <w:rPr>
          <w:rFonts w:ascii="Times New Roman" w:hAnsi="Times New Roman" w:cs="Times New Roman"/>
          <w:color w:val="000000" w:themeColor="text1"/>
          <w:sz w:val="18"/>
          <w:szCs w:val="18"/>
        </w:rPr>
        <w:t>Ogółem nakład pracy studenta 200 g. (95 g. dydaktycznych + 105 g. pracy własnej – lektury uzupełniające do wykładów; przygotowanie mikroprojektu do przedstawienia w trakcie szkoły letniej, opracowanie go w wersji pisemnej po zakończeniu szkoły letniej) czyli 8 ECTS.</w:t>
      </w:r>
    </w:p>
    <w:p w:rsidR="008F6436" w:rsidRPr="008F6436" w:rsidRDefault="008F6436">
      <w:pPr>
        <w:rPr>
          <w:sz w:val="18"/>
          <w:szCs w:val="18"/>
        </w:rPr>
      </w:pPr>
    </w:p>
    <w:sectPr w:rsidR="008F6436" w:rsidRPr="008F6436" w:rsidSect="00BF4A2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4DC" w:rsidRDefault="004A54DC" w:rsidP="00BF4A2B">
      <w:r>
        <w:separator/>
      </w:r>
    </w:p>
  </w:endnote>
  <w:endnote w:type="continuationSeparator" w:id="0">
    <w:p w:rsidR="004A54DC" w:rsidRDefault="004A54DC" w:rsidP="00B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F12" w:rsidRDefault="00866F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2B" w:rsidRDefault="00BF4A2B">
    <w:pPr>
      <w:pStyle w:val="Stopka"/>
    </w:pPr>
    <w:r>
      <w:rPr>
        <w:noProof/>
      </w:rPr>
      <w:drawing>
        <wp:inline distT="0" distB="0" distL="0" distR="0">
          <wp:extent cx="5743575" cy="7334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7334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F12" w:rsidRDefault="00866F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4DC" w:rsidRDefault="004A54DC" w:rsidP="00BF4A2B">
      <w:r>
        <w:separator/>
      </w:r>
    </w:p>
  </w:footnote>
  <w:footnote w:type="continuationSeparator" w:id="0">
    <w:p w:rsidR="004A54DC" w:rsidRDefault="004A54DC" w:rsidP="00BF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F12" w:rsidRDefault="00866F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ADF" w:rsidRDefault="00007ADF">
    <w:pPr>
      <w:pStyle w:val="Nagwek"/>
    </w:pPr>
    <w:r>
      <w:rPr>
        <w:noProof/>
      </w:rPr>
      <w:drawing>
        <wp:inline distT="0" distB="0" distL="0" distR="0">
          <wp:extent cx="1457325" cy="5945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240" cy="621422"/>
                  </a:xfrm>
                  <a:prstGeom prst="rect">
                    <a:avLst/>
                  </a:prstGeom>
                  <a:noFill/>
                  <a:ln>
                    <a:noFill/>
                  </a:ln>
                </pic:spPr>
              </pic:pic>
            </a:graphicData>
          </a:graphic>
        </wp:inline>
      </w:drawing>
    </w:r>
    <w:r w:rsidR="00866F12">
      <w:tab/>
    </w:r>
    <w:r w:rsidR="00866F12">
      <w:tab/>
    </w:r>
    <w:r w:rsidR="00866F12">
      <w:rPr>
        <w:noProof/>
      </w:rPr>
      <w:drawing>
        <wp:inline distT="0" distB="0" distL="0" distR="0">
          <wp:extent cx="1933575" cy="567182"/>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725" cy="592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F12" w:rsidRDefault="00866F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487D"/>
    <w:multiLevelType w:val="hybridMultilevel"/>
    <w:tmpl w:val="A58C62D6"/>
    <w:lvl w:ilvl="0" w:tplc="4252BF1E">
      <w:start w:val="1"/>
      <w:numFmt w:val="decimal"/>
      <w:lvlText w:val="%1."/>
      <w:lvlJc w:val="left"/>
      <w:pPr>
        <w:ind w:left="720" w:hanging="360"/>
      </w:pPr>
      <w:rPr>
        <w:rFonts w:ascii="Times New Roman" w:eastAsiaTheme="minorEastAsia"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9D7C6D"/>
    <w:multiLevelType w:val="hybridMultilevel"/>
    <w:tmpl w:val="975C3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C033D4"/>
    <w:multiLevelType w:val="hybridMultilevel"/>
    <w:tmpl w:val="7AD8336A"/>
    <w:lvl w:ilvl="0" w:tplc="5BF2AE7C">
      <w:start w:val="1"/>
      <w:numFmt w:val="decimal"/>
      <w:lvlText w:val="%1."/>
      <w:lvlJc w:val="left"/>
      <w:pPr>
        <w:ind w:left="410" w:hanging="360"/>
      </w:pPr>
    </w:lvl>
    <w:lvl w:ilvl="1" w:tplc="04150019">
      <w:start w:val="1"/>
      <w:numFmt w:val="lowerLetter"/>
      <w:lvlText w:val="%2."/>
      <w:lvlJc w:val="left"/>
      <w:pPr>
        <w:ind w:left="1130" w:hanging="360"/>
      </w:pPr>
    </w:lvl>
    <w:lvl w:ilvl="2" w:tplc="0415001B">
      <w:start w:val="1"/>
      <w:numFmt w:val="lowerRoman"/>
      <w:lvlText w:val="%3."/>
      <w:lvlJc w:val="right"/>
      <w:pPr>
        <w:ind w:left="1850" w:hanging="180"/>
      </w:pPr>
    </w:lvl>
    <w:lvl w:ilvl="3" w:tplc="0415000F">
      <w:start w:val="1"/>
      <w:numFmt w:val="decimal"/>
      <w:lvlText w:val="%4."/>
      <w:lvlJc w:val="left"/>
      <w:pPr>
        <w:ind w:left="2570" w:hanging="360"/>
      </w:pPr>
    </w:lvl>
    <w:lvl w:ilvl="4" w:tplc="04150019">
      <w:start w:val="1"/>
      <w:numFmt w:val="lowerLetter"/>
      <w:lvlText w:val="%5."/>
      <w:lvlJc w:val="left"/>
      <w:pPr>
        <w:ind w:left="3290" w:hanging="360"/>
      </w:pPr>
    </w:lvl>
    <w:lvl w:ilvl="5" w:tplc="0415001B">
      <w:start w:val="1"/>
      <w:numFmt w:val="lowerRoman"/>
      <w:lvlText w:val="%6."/>
      <w:lvlJc w:val="right"/>
      <w:pPr>
        <w:ind w:left="4010" w:hanging="180"/>
      </w:pPr>
    </w:lvl>
    <w:lvl w:ilvl="6" w:tplc="0415000F">
      <w:start w:val="1"/>
      <w:numFmt w:val="decimal"/>
      <w:lvlText w:val="%7."/>
      <w:lvlJc w:val="left"/>
      <w:pPr>
        <w:ind w:left="4730" w:hanging="360"/>
      </w:pPr>
    </w:lvl>
    <w:lvl w:ilvl="7" w:tplc="04150019">
      <w:start w:val="1"/>
      <w:numFmt w:val="lowerLetter"/>
      <w:lvlText w:val="%8."/>
      <w:lvlJc w:val="left"/>
      <w:pPr>
        <w:ind w:left="5450" w:hanging="360"/>
      </w:pPr>
    </w:lvl>
    <w:lvl w:ilvl="8" w:tplc="0415001B">
      <w:start w:val="1"/>
      <w:numFmt w:val="lowerRoman"/>
      <w:lvlText w:val="%9."/>
      <w:lvlJc w:val="right"/>
      <w:pPr>
        <w:ind w:left="6170" w:hanging="180"/>
      </w:pPr>
    </w:lvl>
  </w:abstractNum>
  <w:abstractNum w:abstractNumId="3" w15:restartNumberingAfterBreak="0">
    <w:nsid w:val="15D00837"/>
    <w:multiLevelType w:val="hybridMultilevel"/>
    <w:tmpl w:val="03A4252A"/>
    <w:lvl w:ilvl="0" w:tplc="3FA649E6">
      <w:start w:val="1"/>
      <w:numFmt w:val="decimal"/>
      <w:lvlText w:val="%1."/>
      <w:lvlJc w:val="left"/>
      <w:pPr>
        <w:ind w:left="394" w:hanging="360"/>
      </w:pPr>
      <w:rPr>
        <w:lang w:val="cs-CZ"/>
      </w:rPr>
    </w:lvl>
    <w:lvl w:ilvl="1" w:tplc="04150019">
      <w:start w:val="1"/>
      <w:numFmt w:val="lowerLetter"/>
      <w:lvlText w:val="%2."/>
      <w:lvlJc w:val="left"/>
      <w:pPr>
        <w:ind w:left="1114" w:hanging="360"/>
      </w:pPr>
    </w:lvl>
    <w:lvl w:ilvl="2" w:tplc="0415001B">
      <w:start w:val="1"/>
      <w:numFmt w:val="lowerRoman"/>
      <w:lvlText w:val="%3."/>
      <w:lvlJc w:val="right"/>
      <w:pPr>
        <w:ind w:left="1834" w:hanging="180"/>
      </w:pPr>
    </w:lvl>
    <w:lvl w:ilvl="3" w:tplc="0415000F">
      <w:start w:val="1"/>
      <w:numFmt w:val="decimal"/>
      <w:lvlText w:val="%4."/>
      <w:lvlJc w:val="left"/>
      <w:pPr>
        <w:ind w:left="2554" w:hanging="360"/>
      </w:pPr>
    </w:lvl>
    <w:lvl w:ilvl="4" w:tplc="04150019">
      <w:start w:val="1"/>
      <w:numFmt w:val="lowerLetter"/>
      <w:lvlText w:val="%5."/>
      <w:lvlJc w:val="left"/>
      <w:pPr>
        <w:ind w:left="3274" w:hanging="360"/>
      </w:pPr>
    </w:lvl>
    <w:lvl w:ilvl="5" w:tplc="0415001B">
      <w:start w:val="1"/>
      <w:numFmt w:val="lowerRoman"/>
      <w:lvlText w:val="%6."/>
      <w:lvlJc w:val="right"/>
      <w:pPr>
        <w:ind w:left="3994" w:hanging="180"/>
      </w:pPr>
    </w:lvl>
    <w:lvl w:ilvl="6" w:tplc="0415000F">
      <w:start w:val="1"/>
      <w:numFmt w:val="decimal"/>
      <w:lvlText w:val="%7."/>
      <w:lvlJc w:val="left"/>
      <w:pPr>
        <w:ind w:left="4714" w:hanging="360"/>
      </w:pPr>
    </w:lvl>
    <w:lvl w:ilvl="7" w:tplc="04150019">
      <w:start w:val="1"/>
      <w:numFmt w:val="lowerLetter"/>
      <w:lvlText w:val="%8."/>
      <w:lvlJc w:val="left"/>
      <w:pPr>
        <w:ind w:left="5434" w:hanging="360"/>
      </w:pPr>
    </w:lvl>
    <w:lvl w:ilvl="8" w:tplc="0415001B">
      <w:start w:val="1"/>
      <w:numFmt w:val="lowerRoman"/>
      <w:lvlText w:val="%9."/>
      <w:lvlJc w:val="right"/>
      <w:pPr>
        <w:ind w:left="6154" w:hanging="180"/>
      </w:pPr>
    </w:lvl>
  </w:abstractNum>
  <w:abstractNum w:abstractNumId="4" w15:restartNumberingAfterBreak="0">
    <w:nsid w:val="1B566E76"/>
    <w:multiLevelType w:val="hybridMultilevel"/>
    <w:tmpl w:val="FBE072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2F6478"/>
    <w:multiLevelType w:val="hybridMultilevel"/>
    <w:tmpl w:val="6900C3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F158B9"/>
    <w:multiLevelType w:val="hybridMultilevel"/>
    <w:tmpl w:val="19261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E03354D"/>
    <w:multiLevelType w:val="hybridMultilevel"/>
    <w:tmpl w:val="0238992A"/>
    <w:lvl w:ilvl="0" w:tplc="9006BA9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811AE7"/>
    <w:multiLevelType w:val="hybridMultilevel"/>
    <w:tmpl w:val="27D0C938"/>
    <w:lvl w:ilvl="0" w:tplc="0B9A783C">
      <w:start w:val="1"/>
      <w:numFmt w:val="decimal"/>
      <w:lvlText w:val="%1."/>
      <w:lvlJc w:val="left"/>
      <w:pPr>
        <w:ind w:left="416" w:hanging="360"/>
      </w:pPr>
      <w:rPr>
        <w:rFonts w:ascii="Times New Roman" w:eastAsiaTheme="minorEastAsia" w:hAnsi="Times New Roman" w:cs="Times New Roman" w:hint="default"/>
        <w:i w:val="0"/>
      </w:rPr>
    </w:lvl>
    <w:lvl w:ilvl="1" w:tplc="04150019">
      <w:start w:val="1"/>
      <w:numFmt w:val="lowerLetter"/>
      <w:lvlText w:val="%2."/>
      <w:lvlJc w:val="left"/>
      <w:pPr>
        <w:ind w:left="1136" w:hanging="360"/>
      </w:pPr>
    </w:lvl>
    <w:lvl w:ilvl="2" w:tplc="0415001B">
      <w:start w:val="1"/>
      <w:numFmt w:val="lowerRoman"/>
      <w:lvlText w:val="%3."/>
      <w:lvlJc w:val="right"/>
      <w:pPr>
        <w:ind w:left="1856" w:hanging="180"/>
      </w:pPr>
    </w:lvl>
    <w:lvl w:ilvl="3" w:tplc="0415000F">
      <w:start w:val="1"/>
      <w:numFmt w:val="decimal"/>
      <w:lvlText w:val="%4."/>
      <w:lvlJc w:val="left"/>
      <w:pPr>
        <w:ind w:left="2576" w:hanging="360"/>
      </w:pPr>
    </w:lvl>
    <w:lvl w:ilvl="4" w:tplc="04150019">
      <w:start w:val="1"/>
      <w:numFmt w:val="lowerLetter"/>
      <w:lvlText w:val="%5."/>
      <w:lvlJc w:val="left"/>
      <w:pPr>
        <w:ind w:left="3296" w:hanging="360"/>
      </w:pPr>
    </w:lvl>
    <w:lvl w:ilvl="5" w:tplc="0415001B">
      <w:start w:val="1"/>
      <w:numFmt w:val="lowerRoman"/>
      <w:lvlText w:val="%6."/>
      <w:lvlJc w:val="right"/>
      <w:pPr>
        <w:ind w:left="4016" w:hanging="180"/>
      </w:pPr>
    </w:lvl>
    <w:lvl w:ilvl="6" w:tplc="0415000F">
      <w:start w:val="1"/>
      <w:numFmt w:val="decimal"/>
      <w:lvlText w:val="%7."/>
      <w:lvlJc w:val="left"/>
      <w:pPr>
        <w:ind w:left="4736" w:hanging="360"/>
      </w:pPr>
    </w:lvl>
    <w:lvl w:ilvl="7" w:tplc="04150019">
      <w:start w:val="1"/>
      <w:numFmt w:val="lowerLetter"/>
      <w:lvlText w:val="%8."/>
      <w:lvlJc w:val="left"/>
      <w:pPr>
        <w:ind w:left="5456" w:hanging="360"/>
      </w:pPr>
    </w:lvl>
    <w:lvl w:ilvl="8" w:tplc="0415001B">
      <w:start w:val="1"/>
      <w:numFmt w:val="lowerRoman"/>
      <w:lvlText w:val="%9."/>
      <w:lvlJc w:val="right"/>
      <w:pPr>
        <w:ind w:left="6176" w:hanging="180"/>
      </w:pPr>
    </w:lvl>
  </w:abstractNum>
  <w:abstractNum w:abstractNumId="9" w15:restartNumberingAfterBreak="0">
    <w:nsid w:val="67560B49"/>
    <w:multiLevelType w:val="hybridMultilevel"/>
    <w:tmpl w:val="975C3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89D18B6"/>
    <w:multiLevelType w:val="hybridMultilevel"/>
    <w:tmpl w:val="7408C650"/>
    <w:lvl w:ilvl="0" w:tplc="751AF69A">
      <w:start w:val="1"/>
      <w:numFmt w:val="decimal"/>
      <w:lvlText w:val="%1."/>
      <w:lvlJc w:val="left"/>
      <w:pPr>
        <w:ind w:left="720" w:hanging="360"/>
      </w:pPr>
      <w:rPr>
        <w:rFonts w:ascii="Times New Roman" w:eastAsiaTheme="minorEastAsia" w:hAnsi="Times New Roman" w:cs="Times New Roman" w:hint="default"/>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69"/>
    <w:rsid w:val="00007ADF"/>
    <w:rsid w:val="00337556"/>
    <w:rsid w:val="00451669"/>
    <w:rsid w:val="004A54DC"/>
    <w:rsid w:val="00866F12"/>
    <w:rsid w:val="008F6436"/>
    <w:rsid w:val="00BF4A2B"/>
    <w:rsid w:val="00C8504D"/>
    <w:rsid w:val="00EB7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B6265"/>
  <w15:chartTrackingRefBased/>
  <w15:docId w15:val="{B98CD948-2750-457E-85EF-F5D8D2C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436"/>
    <w:pPr>
      <w:spacing w:after="0" w:line="240" w:lineRule="auto"/>
    </w:pPr>
    <w:rPr>
      <w:rFonts w:eastAsiaTheme="minorEastAsia"/>
      <w:sz w:val="24"/>
      <w:szCs w:val="24"/>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A2B"/>
    <w:pPr>
      <w:tabs>
        <w:tab w:val="center" w:pos="4536"/>
        <w:tab w:val="right" w:pos="9072"/>
      </w:tabs>
    </w:pPr>
  </w:style>
  <w:style w:type="character" w:customStyle="1" w:styleId="NagwekZnak">
    <w:name w:val="Nagłówek Znak"/>
    <w:basedOn w:val="Domylnaczcionkaakapitu"/>
    <w:link w:val="Nagwek"/>
    <w:uiPriority w:val="99"/>
    <w:rsid w:val="00BF4A2B"/>
  </w:style>
  <w:style w:type="paragraph" w:styleId="Stopka">
    <w:name w:val="footer"/>
    <w:basedOn w:val="Normalny"/>
    <w:link w:val="StopkaZnak"/>
    <w:uiPriority w:val="99"/>
    <w:unhideWhenUsed/>
    <w:rsid w:val="00BF4A2B"/>
    <w:pPr>
      <w:tabs>
        <w:tab w:val="center" w:pos="4536"/>
        <w:tab w:val="right" w:pos="9072"/>
      </w:tabs>
    </w:pPr>
  </w:style>
  <w:style w:type="character" w:customStyle="1" w:styleId="StopkaZnak">
    <w:name w:val="Stopka Znak"/>
    <w:basedOn w:val="Domylnaczcionkaakapitu"/>
    <w:link w:val="Stopka"/>
    <w:uiPriority w:val="99"/>
    <w:rsid w:val="00BF4A2B"/>
  </w:style>
  <w:style w:type="paragraph" w:styleId="NormalnyWeb">
    <w:name w:val="Normal (Web)"/>
    <w:basedOn w:val="Normalny"/>
    <w:uiPriority w:val="99"/>
    <w:semiHidden/>
    <w:unhideWhenUsed/>
    <w:rsid w:val="008F6436"/>
    <w:pPr>
      <w:spacing w:before="100" w:beforeAutospacing="1" w:after="100" w:afterAutospacing="1"/>
    </w:pPr>
    <w:rPr>
      <w:rFonts w:ascii="Times New Roman" w:eastAsia="Times New Roman" w:hAnsi="Times New Roman" w:cs="Times New Roman"/>
      <w:lang w:val="pl-PL"/>
    </w:rPr>
  </w:style>
  <w:style w:type="paragraph" w:styleId="Akapitzlist">
    <w:name w:val="List Paragraph"/>
    <w:basedOn w:val="Normalny"/>
    <w:uiPriority w:val="34"/>
    <w:qFormat/>
    <w:rsid w:val="008F6436"/>
    <w:pPr>
      <w:ind w:left="720"/>
      <w:contextualSpacing/>
    </w:pPr>
  </w:style>
  <w:style w:type="paragraph" w:customStyle="1" w:styleId="Default">
    <w:name w:val="Default"/>
    <w:uiPriority w:val="99"/>
    <w:semiHidden/>
    <w:rsid w:val="008F643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customStyle="1" w:styleId="shorttext">
    <w:name w:val="short_text"/>
    <w:basedOn w:val="Domylnaczcionkaakapitu"/>
    <w:rsid w:val="008F6436"/>
  </w:style>
  <w:style w:type="character" w:customStyle="1" w:styleId="a-size-large">
    <w:name w:val="a-size-large"/>
    <w:basedOn w:val="Domylnaczcionkaakapitu"/>
    <w:rsid w:val="008F6436"/>
  </w:style>
  <w:style w:type="character" w:customStyle="1" w:styleId="st">
    <w:name w:val="st"/>
    <w:basedOn w:val="Domylnaczcionkaakapitu"/>
    <w:rsid w:val="008F6436"/>
  </w:style>
  <w:style w:type="table" w:styleId="Tabela-Siatka">
    <w:name w:val="Table Grid"/>
    <w:basedOn w:val="Standardowy"/>
    <w:uiPriority w:val="59"/>
    <w:rsid w:val="008F6436"/>
    <w:pPr>
      <w:spacing w:after="0" w:line="240" w:lineRule="auto"/>
    </w:pPr>
    <w:rPr>
      <w:rFonts w:eastAsiaTheme="minorEastAsia"/>
      <w:sz w:val="24"/>
      <w:szCs w:val="24"/>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F64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5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2965</Words>
  <Characters>17790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THINK</cp:lastModifiedBy>
  <cp:revision>2</cp:revision>
  <dcterms:created xsi:type="dcterms:W3CDTF">2019-05-07T18:41:00Z</dcterms:created>
  <dcterms:modified xsi:type="dcterms:W3CDTF">2019-05-07T18:41:00Z</dcterms:modified>
</cp:coreProperties>
</file>